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B0C5B" w14:textId="47C17CC6" w:rsidR="00CE2C8E" w:rsidRDefault="004912E1" w:rsidP="004912E1">
      <w:pPr>
        <w:pStyle w:val="3GPPHeader"/>
        <w:spacing w:after="0"/>
        <w:rPr>
          <w:rFonts w:cs="Arial"/>
          <w:color w:val="000000"/>
          <w:kern w:val="2"/>
          <w:lang w:val="en-US"/>
        </w:rPr>
      </w:pPr>
      <w:r w:rsidRPr="004912E1">
        <w:rPr>
          <w:rFonts w:cs="Arial"/>
          <w:color w:val="000000"/>
          <w:kern w:val="2"/>
          <w:lang w:val="en-US"/>
        </w:rPr>
        <w:t>3GPP TSG-RAN WG2#101</w:t>
      </w:r>
      <w:r>
        <w:rPr>
          <w:rFonts w:cs="Arial"/>
          <w:color w:val="000000"/>
          <w:kern w:val="2"/>
          <w:lang w:val="en-US"/>
        </w:rPr>
        <w:t xml:space="preserve"> </w:t>
      </w:r>
      <w:r>
        <w:rPr>
          <w:rFonts w:cs="Arial"/>
          <w:color w:val="000000"/>
          <w:kern w:val="2"/>
          <w:lang w:val="en-US"/>
        </w:rPr>
        <w:tab/>
        <w:t>R2-18</w:t>
      </w:r>
      <w:r w:rsidR="004E5F3B">
        <w:rPr>
          <w:rFonts w:cs="Arial"/>
          <w:color w:val="000000"/>
          <w:kern w:val="2"/>
          <w:lang w:val="en-US"/>
        </w:rPr>
        <w:t>01794</w:t>
      </w:r>
      <w:bookmarkStart w:id="0" w:name="_GoBack"/>
      <w:bookmarkEnd w:id="0"/>
    </w:p>
    <w:p w14:paraId="4D56CC73" w14:textId="39313E2D" w:rsidR="004912E1" w:rsidRPr="004912E1" w:rsidRDefault="004912E1" w:rsidP="004912E1">
      <w:pPr>
        <w:pStyle w:val="3GPPHeader"/>
        <w:spacing w:after="0"/>
        <w:rPr>
          <w:rFonts w:cs="Arial"/>
          <w:color w:val="000000"/>
          <w:kern w:val="2"/>
          <w:lang w:val="en-US"/>
        </w:rPr>
      </w:pPr>
      <w:r w:rsidRPr="004912E1">
        <w:rPr>
          <w:rFonts w:cs="Arial"/>
          <w:color w:val="000000"/>
          <w:kern w:val="2"/>
          <w:lang w:val="en-US"/>
        </w:rPr>
        <w:t>Athens, Greece, 26th February – 2nd March 2018</w:t>
      </w:r>
    </w:p>
    <w:p w14:paraId="15EE24F5" w14:textId="77777777" w:rsidR="0031543E" w:rsidRPr="004C440F" w:rsidRDefault="0031543E" w:rsidP="0031543E">
      <w:pPr>
        <w:pStyle w:val="3GPPHeader"/>
        <w:rPr>
          <w:sz w:val="22"/>
          <w:szCs w:val="22"/>
          <w:lang w:val="en-US"/>
        </w:rPr>
      </w:pPr>
    </w:p>
    <w:p w14:paraId="6C0C81ED" w14:textId="6E2BA9BB" w:rsidR="0031543E" w:rsidRPr="004C440F" w:rsidRDefault="0031543E" w:rsidP="0031543E">
      <w:pPr>
        <w:pStyle w:val="3GPPHeader"/>
        <w:rPr>
          <w:sz w:val="22"/>
          <w:szCs w:val="22"/>
          <w:lang w:val="en-US"/>
        </w:rPr>
      </w:pPr>
      <w:r w:rsidRPr="004C440F">
        <w:rPr>
          <w:sz w:val="22"/>
          <w:szCs w:val="22"/>
          <w:lang w:val="en-US"/>
        </w:rPr>
        <w:t>Agenda Item:</w:t>
      </w:r>
      <w:r w:rsidRPr="004C440F">
        <w:rPr>
          <w:sz w:val="22"/>
          <w:szCs w:val="22"/>
          <w:lang w:val="en-US"/>
        </w:rPr>
        <w:tab/>
      </w:r>
      <w:r w:rsidR="004912E1" w:rsidRPr="00AD7863">
        <w:rPr>
          <w:sz w:val="22"/>
          <w:szCs w:val="22"/>
          <w:lang w:val="en-US"/>
        </w:rPr>
        <w:t>9.</w:t>
      </w:r>
      <w:r w:rsidR="00AD7863" w:rsidRPr="00AD7863">
        <w:rPr>
          <w:sz w:val="22"/>
          <w:szCs w:val="22"/>
          <w:lang w:val="en-US"/>
        </w:rPr>
        <w:t>9.2</w:t>
      </w:r>
    </w:p>
    <w:p w14:paraId="36E14068" w14:textId="25918F6A" w:rsidR="0031543E" w:rsidRPr="004C440F" w:rsidRDefault="0031543E" w:rsidP="0031543E">
      <w:pPr>
        <w:pStyle w:val="3GPPHeader"/>
        <w:rPr>
          <w:sz w:val="22"/>
          <w:szCs w:val="22"/>
        </w:rPr>
      </w:pPr>
      <w:r w:rsidRPr="004C440F">
        <w:rPr>
          <w:sz w:val="22"/>
          <w:szCs w:val="22"/>
        </w:rPr>
        <w:t>Source:</w:t>
      </w:r>
      <w:r w:rsidRPr="004C440F">
        <w:rPr>
          <w:sz w:val="22"/>
          <w:szCs w:val="22"/>
        </w:rPr>
        <w:tab/>
      </w:r>
      <w:r w:rsidRPr="004C440F">
        <w:rPr>
          <w:rFonts w:hint="eastAsia"/>
          <w:sz w:val="22"/>
          <w:szCs w:val="22"/>
        </w:rPr>
        <w:t>OPPO</w:t>
      </w:r>
    </w:p>
    <w:p w14:paraId="7A70B16A" w14:textId="649627C0" w:rsidR="0031543E" w:rsidRPr="004C440F" w:rsidRDefault="0031543E" w:rsidP="0031543E">
      <w:pPr>
        <w:pStyle w:val="3GPPHeader"/>
        <w:rPr>
          <w:sz w:val="22"/>
          <w:szCs w:val="22"/>
        </w:rPr>
      </w:pPr>
      <w:r w:rsidRPr="004C440F">
        <w:rPr>
          <w:sz w:val="22"/>
          <w:szCs w:val="22"/>
        </w:rPr>
        <w:t>Title:</w:t>
      </w:r>
      <w:r w:rsidRPr="004C440F">
        <w:rPr>
          <w:sz w:val="22"/>
          <w:szCs w:val="22"/>
        </w:rPr>
        <w:tab/>
      </w:r>
      <w:r w:rsidR="006338B3" w:rsidRPr="006338B3">
        <w:rPr>
          <w:sz w:val="22"/>
          <w:szCs w:val="22"/>
        </w:rPr>
        <w:t xml:space="preserve">Discussion on Measurement </w:t>
      </w:r>
      <w:r w:rsidR="00691B13">
        <w:rPr>
          <w:sz w:val="22"/>
          <w:szCs w:val="22"/>
        </w:rPr>
        <w:t>Mechanism</w:t>
      </w:r>
      <w:r w:rsidR="006338B3" w:rsidRPr="006338B3">
        <w:rPr>
          <w:sz w:val="22"/>
          <w:szCs w:val="22"/>
        </w:rPr>
        <w:t xml:space="preserve"> for Fast </w:t>
      </w:r>
      <w:proofErr w:type="spellStart"/>
      <w:r w:rsidR="006338B3" w:rsidRPr="006338B3">
        <w:rPr>
          <w:sz w:val="22"/>
          <w:szCs w:val="22"/>
        </w:rPr>
        <w:t>SCell</w:t>
      </w:r>
      <w:proofErr w:type="spellEnd"/>
      <w:r w:rsidR="006338B3" w:rsidRPr="006338B3">
        <w:rPr>
          <w:sz w:val="22"/>
          <w:szCs w:val="22"/>
        </w:rPr>
        <w:t xml:space="preserve"> Configuration</w:t>
      </w:r>
    </w:p>
    <w:p w14:paraId="50533554" w14:textId="77777777" w:rsidR="0031543E" w:rsidRPr="004C440F" w:rsidRDefault="0031543E" w:rsidP="0031543E">
      <w:pPr>
        <w:pStyle w:val="3GPPHeader"/>
        <w:rPr>
          <w:sz w:val="22"/>
          <w:szCs w:val="22"/>
        </w:rPr>
      </w:pPr>
      <w:r w:rsidRPr="004C440F">
        <w:rPr>
          <w:sz w:val="22"/>
          <w:szCs w:val="22"/>
        </w:rPr>
        <w:t>Document for:</w:t>
      </w:r>
      <w:r w:rsidRPr="004C440F">
        <w:rPr>
          <w:sz w:val="22"/>
          <w:szCs w:val="22"/>
        </w:rPr>
        <w:tab/>
        <w:t>Discussion, Decision</w:t>
      </w:r>
    </w:p>
    <w:p w14:paraId="46CF2650" w14:textId="77777777" w:rsidR="00E90E49" w:rsidRPr="00CE0424" w:rsidRDefault="00E90E49" w:rsidP="00CE0424">
      <w:pPr>
        <w:pStyle w:val="1"/>
      </w:pPr>
      <w:r w:rsidRPr="00CE0424">
        <w:t>Introduction</w:t>
      </w:r>
    </w:p>
    <w:p w14:paraId="37AEE9FE" w14:textId="40C24127" w:rsidR="00AD7863" w:rsidRDefault="006D2017" w:rsidP="00AD7863">
      <w:pPr>
        <w:pStyle w:val="ab"/>
      </w:pPr>
      <w:r>
        <w:rPr>
          <w:rFonts w:hint="eastAsia"/>
        </w:rPr>
        <w:t>In</w:t>
      </w:r>
      <w:r w:rsidR="00DC2B6D">
        <w:t xml:space="preserve"> R</w:t>
      </w:r>
      <w:r w:rsidR="00707BED">
        <w:t xml:space="preserve">AN2#100 </w:t>
      </w:r>
      <w:proofErr w:type="gramStart"/>
      <w:r w:rsidR="00707BED">
        <w:t>meeting</w:t>
      </w:r>
      <w:r w:rsidR="00EF63E7">
        <w:t>[</w:t>
      </w:r>
      <w:proofErr w:type="gramEnd"/>
      <w:r w:rsidR="00EF63E7">
        <w:fldChar w:fldCharType="begin"/>
      </w:r>
      <w:r w:rsidR="00EF63E7">
        <w:instrText xml:space="preserve"> REF _Ref505958263 \r \h </w:instrText>
      </w:r>
      <w:r w:rsidR="00EF63E7">
        <w:fldChar w:fldCharType="separate"/>
      </w:r>
      <w:r w:rsidR="00EF63E7">
        <w:t>[1]</w:t>
      </w:r>
      <w:r w:rsidR="00EF63E7">
        <w:fldChar w:fldCharType="end"/>
      </w:r>
      <w:r w:rsidR="00EF63E7">
        <w:t>]</w:t>
      </w:r>
      <w:r w:rsidR="00DC2B6D">
        <w:t>,</w:t>
      </w:r>
      <w:r w:rsidR="00707BED">
        <w:t xml:space="preserve"> regarding </w:t>
      </w:r>
      <w:proofErr w:type="spellStart"/>
      <w:r w:rsidR="00707BED">
        <w:t>to</w:t>
      </w:r>
      <w:proofErr w:type="spellEnd"/>
      <w:r w:rsidR="00707BED">
        <w:t xml:space="preserve"> fast </w:t>
      </w:r>
      <w:proofErr w:type="spellStart"/>
      <w:r w:rsidR="00707BED">
        <w:t>Scell</w:t>
      </w:r>
      <w:proofErr w:type="spellEnd"/>
      <w:r w:rsidR="00707BED">
        <w:t xml:space="preserve"> configuration, there are some agreements as follows</w:t>
      </w:r>
      <w:r w:rsidR="00EF63E7">
        <w:t>:</w:t>
      </w:r>
    </w:p>
    <w:p w14:paraId="39AF0506" w14:textId="77777777" w:rsidR="00707BED" w:rsidRPr="000B47D4" w:rsidRDefault="00707BED" w:rsidP="00707BED">
      <w:pPr>
        <w:pStyle w:val="Doc-text2"/>
        <w:pBdr>
          <w:top w:val="single" w:sz="4" w:space="1" w:color="auto"/>
          <w:left w:val="single" w:sz="4" w:space="4" w:color="auto"/>
          <w:bottom w:val="single" w:sz="4" w:space="1" w:color="auto"/>
          <w:right w:val="single" w:sz="4" w:space="4" w:color="auto"/>
        </w:pBdr>
        <w:rPr>
          <w:b/>
        </w:rPr>
      </w:pPr>
      <w:r w:rsidRPr="000B47D4">
        <w:rPr>
          <w:b/>
        </w:rPr>
        <w:t>Agreements:</w:t>
      </w:r>
    </w:p>
    <w:p w14:paraId="0A608748" w14:textId="77777777" w:rsidR="00707BED" w:rsidRPr="000454FB" w:rsidRDefault="00707BED" w:rsidP="00707BED">
      <w:pPr>
        <w:pStyle w:val="Doc-text2"/>
        <w:pBdr>
          <w:top w:val="single" w:sz="4" w:space="1" w:color="auto"/>
          <w:left w:val="single" w:sz="4" w:space="4" w:color="auto"/>
          <w:bottom w:val="single" w:sz="4" w:space="1" w:color="auto"/>
          <w:right w:val="single" w:sz="4" w:space="4" w:color="auto"/>
        </w:pBdr>
      </w:pPr>
      <w:r>
        <w:rPr>
          <w:b/>
        </w:rPr>
        <w:t>1</w:t>
      </w:r>
      <w:r>
        <w:rPr>
          <w:b/>
        </w:rPr>
        <w:tab/>
      </w:r>
      <w:r w:rsidRPr="000454FB">
        <w:t xml:space="preserve">Support configuring </w:t>
      </w:r>
      <w:proofErr w:type="spellStart"/>
      <w:r w:rsidRPr="000454FB">
        <w:t>SCell</w:t>
      </w:r>
      <w:proofErr w:type="spellEnd"/>
      <w:r w:rsidRPr="000454FB">
        <w:t xml:space="preserve"> </w:t>
      </w:r>
      <w:r>
        <w:t xml:space="preserve">directly </w:t>
      </w:r>
      <w:r w:rsidRPr="000454FB">
        <w:t>in activated</w:t>
      </w:r>
      <w:r>
        <w:t>/deactivated</w:t>
      </w:r>
      <w:r w:rsidRPr="000454FB">
        <w:t xml:space="preserve"> state in Rel-15.</w:t>
      </w:r>
      <w:r>
        <w:t xml:space="preserve"> FFS how to solve the CQI ambiguous and PDCCH monitoring timing issues.</w:t>
      </w:r>
    </w:p>
    <w:p w14:paraId="687D0107" w14:textId="22EC03FB" w:rsidR="00707BED" w:rsidRDefault="00EF63E7" w:rsidP="00AD7863">
      <w:pPr>
        <w:pStyle w:val="ab"/>
      </w:pPr>
      <w:r>
        <w:rPr>
          <w:rFonts w:hint="eastAsia"/>
        </w:rPr>
        <w:t>T</w:t>
      </w:r>
      <w:r>
        <w:t xml:space="preserve">his agreement allows that an idle mode UE can be configured with </w:t>
      </w:r>
      <w:proofErr w:type="spellStart"/>
      <w:r>
        <w:t>Scell</w:t>
      </w:r>
      <w:proofErr w:type="spellEnd"/>
      <w:r>
        <w:t xml:space="preserve"> directly during connection setup.  A new state for </w:t>
      </w:r>
      <w:proofErr w:type="spellStart"/>
      <w:r>
        <w:t>Scell</w:t>
      </w:r>
      <w:proofErr w:type="spellEnd"/>
      <w:r>
        <w:t xml:space="preserve"> is also agreed as follows:</w:t>
      </w:r>
    </w:p>
    <w:p w14:paraId="37F90558" w14:textId="77777777" w:rsidR="00EF63E7" w:rsidRPr="000B47D4" w:rsidRDefault="00EF63E7" w:rsidP="00EF63E7">
      <w:pPr>
        <w:pStyle w:val="Doc-text2"/>
        <w:pBdr>
          <w:top w:val="single" w:sz="4" w:space="1" w:color="auto"/>
          <w:left w:val="single" w:sz="4" w:space="4" w:color="auto"/>
          <w:bottom w:val="single" w:sz="4" w:space="1" w:color="auto"/>
          <w:right w:val="single" w:sz="4" w:space="4" w:color="auto"/>
        </w:pBdr>
        <w:rPr>
          <w:b/>
        </w:rPr>
      </w:pPr>
      <w:r w:rsidRPr="000B47D4">
        <w:rPr>
          <w:b/>
        </w:rPr>
        <w:t>Agreements:</w:t>
      </w:r>
    </w:p>
    <w:p w14:paraId="674ED782" w14:textId="77777777" w:rsidR="00EF63E7" w:rsidRDefault="00EF63E7" w:rsidP="00EF63E7">
      <w:pPr>
        <w:pStyle w:val="Doc-text2"/>
        <w:pBdr>
          <w:top w:val="single" w:sz="4" w:space="1" w:color="auto"/>
          <w:left w:val="single" w:sz="4" w:space="4" w:color="auto"/>
          <w:bottom w:val="single" w:sz="4" w:space="1" w:color="auto"/>
          <w:right w:val="single" w:sz="4" w:space="4" w:color="auto"/>
        </w:pBdr>
      </w:pPr>
      <w:r>
        <w:tab/>
      </w:r>
      <w:r w:rsidRPr="00134703">
        <w:t xml:space="preserve">Introduce a New </w:t>
      </w:r>
      <w:proofErr w:type="spellStart"/>
      <w:r w:rsidRPr="00134703">
        <w:t>SCell</w:t>
      </w:r>
      <w:proofErr w:type="spellEnd"/>
      <w:r w:rsidRPr="00134703">
        <w:t xml:space="preserve"> fast activation state</w:t>
      </w:r>
      <w:r>
        <w:t xml:space="preserve"> as follows:</w:t>
      </w:r>
    </w:p>
    <w:p w14:paraId="56AE8E8F" w14:textId="77777777" w:rsidR="00EF63E7" w:rsidRDefault="00EF63E7" w:rsidP="00EF63E7">
      <w:pPr>
        <w:pStyle w:val="Doc-text2"/>
        <w:pBdr>
          <w:top w:val="single" w:sz="4" w:space="1" w:color="auto"/>
          <w:left w:val="single" w:sz="4" w:space="4" w:color="auto"/>
          <w:bottom w:val="single" w:sz="4" w:space="1" w:color="auto"/>
          <w:right w:val="single" w:sz="4" w:space="4" w:color="auto"/>
        </w:pBdr>
      </w:pPr>
      <w:r>
        <w:tab/>
      </w:r>
      <w:r>
        <w:tab/>
        <w:t>1) Not introduce L1 signalling</w:t>
      </w:r>
    </w:p>
    <w:p w14:paraId="019FF937" w14:textId="77777777" w:rsidR="00EF63E7" w:rsidRDefault="00EF63E7" w:rsidP="00EF63E7">
      <w:pPr>
        <w:pStyle w:val="Doc-text2"/>
        <w:pBdr>
          <w:top w:val="single" w:sz="4" w:space="1" w:color="auto"/>
          <w:left w:val="single" w:sz="4" w:space="4" w:color="auto"/>
          <w:bottom w:val="single" w:sz="4" w:space="1" w:color="auto"/>
          <w:right w:val="single" w:sz="4" w:space="4" w:color="auto"/>
        </w:pBdr>
      </w:pPr>
      <w:r>
        <w:tab/>
      </w:r>
      <w:r>
        <w:tab/>
        <w:t>2) Only period CQI report based on CRS</w:t>
      </w:r>
    </w:p>
    <w:p w14:paraId="712870B8" w14:textId="77777777" w:rsidR="00EF63E7" w:rsidRDefault="00EF63E7" w:rsidP="00EF63E7">
      <w:pPr>
        <w:pStyle w:val="Doc-text2"/>
        <w:pBdr>
          <w:top w:val="single" w:sz="4" w:space="1" w:color="auto"/>
          <w:left w:val="single" w:sz="4" w:space="4" w:color="auto"/>
          <w:bottom w:val="single" w:sz="4" w:space="1" w:color="auto"/>
          <w:right w:val="single" w:sz="4" w:space="4" w:color="auto"/>
        </w:pBdr>
      </w:pPr>
      <w:r>
        <w:tab/>
      </w:r>
      <w:r>
        <w:tab/>
        <w:t>3)</w:t>
      </w:r>
      <w:r w:rsidRPr="00D103FA">
        <w:t xml:space="preserve"> </w:t>
      </w:r>
      <w:r w:rsidRPr="00134703">
        <w:t>without PDCCH monitoring</w:t>
      </w:r>
    </w:p>
    <w:p w14:paraId="7914A1E7" w14:textId="20A655EF" w:rsidR="00EF63E7" w:rsidRDefault="00EF63E7" w:rsidP="00AD7863">
      <w:pPr>
        <w:pStyle w:val="ab"/>
      </w:pPr>
      <w:r>
        <w:t>Regarding to idle mode measurement, there are some online discussion</w:t>
      </w:r>
      <w:r>
        <w:fldChar w:fldCharType="begin"/>
      </w:r>
      <w:r>
        <w:instrText xml:space="preserve"> REF _Ref505958274 \r \h </w:instrText>
      </w:r>
      <w:r>
        <w:fldChar w:fldCharType="separate"/>
      </w:r>
      <w:r>
        <w:t>[2]</w:t>
      </w:r>
      <w:r>
        <w:fldChar w:fldCharType="end"/>
      </w:r>
      <w:r>
        <w:t xml:space="preserve"> but no agreements are drawn.  In this contribution, we discuss </w:t>
      </w:r>
      <w:r w:rsidR="005D5E4D">
        <w:t>how to enhance the measurement configuration for both RRC_Connected and RRC_IDLE UEs</w:t>
      </w:r>
      <w:r>
        <w:t>.</w:t>
      </w:r>
    </w:p>
    <w:p w14:paraId="113CF799" w14:textId="47C4B4BC" w:rsidR="00F4349C" w:rsidRDefault="00F4349C" w:rsidP="005D5E4D">
      <w:pPr>
        <w:pStyle w:val="1"/>
      </w:pPr>
      <w:r>
        <w:rPr>
          <w:rFonts w:hint="eastAsia"/>
        </w:rPr>
        <w:t>D</w:t>
      </w:r>
      <w:r>
        <w:t>iscussions and Proposals</w:t>
      </w:r>
    </w:p>
    <w:p w14:paraId="2415F58B" w14:textId="33C92C16" w:rsidR="005D5E4D" w:rsidRPr="00A319B6" w:rsidRDefault="005D5E4D" w:rsidP="00F4349C">
      <w:pPr>
        <w:pStyle w:val="2"/>
        <w:rPr>
          <w:sz w:val="28"/>
        </w:rPr>
      </w:pPr>
      <w:r w:rsidRPr="00A319B6">
        <w:rPr>
          <w:sz w:val="28"/>
        </w:rPr>
        <w:t xml:space="preserve">Motivation to </w:t>
      </w:r>
      <w:r w:rsidR="00AE78B8">
        <w:rPr>
          <w:sz w:val="28"/>
        </w:rPr>
        <w:t>E</w:t>
      </w:r>
      <w:r w:rsidRPr="00A319B6">
        <w:rPr>
          <w:sz w:val="28"/>
        </w:rPr>
        <w:t>nhance Measurement Configuration</w:t>
      </w:r>
    </w:p>
    <w:p w14:paraId="23A5BE1F" w14:textId="205EFFA0" w:rsidR="005D5E4D" w:rsidRPr="004E1F03" w:rsidRDefault="005D5E4D" w:rsidP="005D5E4D">
      <w:pPr>
        <w:pStyle w:val="ab"/>
      </w:pPr>
      <w:r>
        <w:rPr>
          <w:rFonts w:hint="eastAsia"/>
        </w:rPr>
        <w:t>I</w:t>
      </w:r>
      <w:r>
        <w:t xml:space="preserve">n legacy LTE measurement configuration, within </w:t>
      </w:r>
      <w:proofErr w:type="spellStart"/>
      <w:r w:rsidRPr="005D5E4D">
        <w:rPr>
          <w:i/>
        </w:rPr>
        <w:t>MeasObjectEUTRA</w:t>
      </w:r>
      <w:proofErr w:type="spellEnd"/>
      <w:r>
        <w:t>, carrier frequency info</w:t>
      </w:r>
      <w:r w:rsidR="002A6C55">
        <w:t xml:space="preserve">, </w:t>
      </w:r>
      <w:r>
        <w:t>cell list</w:t>
      </w:r>
      <w:r w:rsidR="002A6C55">
        <w:t xml:space="preserve"> and black list</w:t>
      </w:r>
      <w:r>
        <w:t xml:space="preserve"> </w:t>
      </w:r>
      <w:r w:rsidR="002A6C55">
        <w:t>are</w:t>
      </w:r>
      <w:r>
        <w:t xml:space="preserve"> provided.  Within the cell list, </w:t>
      </w:r>
      <w:r w:rsidR="002A6C55">
        <w:t xml:space="preserve">Physical Cell Identity(PCI) is used to identify the cells to be or not to be measured.  For faster </w:t>
      </w:r>
      <w:proofErr w:type="spellStart"/>
      <w:r w:rsidR="002A6C55">
        <w:t>SCell</w:t>
      </w:r>
      <w:proofErr w:type="spellEnd"/>
      <w:r w:rsidR="002A6C55">
        <w:t xml:space="preserve"> configuration, as currently 3GPP only support dual connectivity architecture, one UE can have at most one master node(MN) and one secondary node (SN).  We think one important observation is that if UE can report </w:t>
      </w:r>
      <w:proofErr w:type="spellStart"/>
      <w:r w:rsidR="002A6C55">
        <w:t>Scells</w:t>
      </w:r>
      <w:proofErr w:type="spellEnd"/>
      <w:r w:rsidR="002A6C55">
        <w:t xml:space="preserve"> associated with one </w:t>
      </w:r>
      <w:proofErr w:type="spellStart"/>
      <w:r w:rsidR="002A6C55">
        <w:t>eNB</w:t>
      </w:r>
      <w:proofErr w:type="spellEnd"/>
      <w:r w:rsidR="002A6C55">
        <w:t xml:space="preserve">, then it is possible to configure these cells fast.  If the reported cells are not associated with one </w:t>
      </w:r>
      <w:proofErr w:type="spellStart"/>
      <w:r w:rsidR="002A6C55">
        <w:t>eNB</w:t>
      </w:r>
      <w:proofErr w:type="spellEnd"/>
      <w:r w:rsidR="002A6C55">
        <w:t xml:space="preserve">, UE can only be configured the </w:t>
      </w:r>
      <w:proofErr w:type="spellStart"/>
      <w:r w:rsidR="002A6C55">
        <w:t>SCells</w:t>
      </w:r>
      <w:proofErr w:type="spellEnd"/>
      <w:r w:rsidR="002A6C55">
        <w:t xml:space="preserve"> associated with one </w:t>
      </w:r>
      <w:proofErr w:type="spellStart"/>
      <w:r w:rsidR="002A6C55">
        <w:t>eNB</w:t>
      </w:r>
      <w:proofErr w:type="spellEnd"/>
      <w:r w:rsidR="002A6C55">
        <w:t xml:space="preserve"> and the measured cells in another </w:t>
      </w:r>
      <w:proofErr w:type="spellStart"/>
      <w:r w:rsidR="002A6C55">
        <w:t>eNB</w:t>
      </w:r>
      <w:proofErr w:type="spellEnd"/>
      <w:r w:rsidR="002A6C55">
        <w:t xml:space="preserve"> may be useless.</w:t>
      </w:r>
    </w:p>
    <w:p w14:paraId="2BD13AF5" w14:textId="487468EA" w:rsidR="002A6C55" w:rsidRPr="00691B13" w:rsidRDefault="002A6C55" w:rsidP="005552DA">
      <w:pPr>
        <w:pStyle w:val="Proposal"/>
        <w:numPr>
          <w:ilvl w:val="0"/>
          <w:numId w:val="13"/>
        </w:numPr>
        <w:tabs>
          <w:tab w:val="clear" w:pos="1304"/>
        </w:tabs>
      </w:pPr>
      <w:bookmarkStart w:id="1" w:name="_Toc506286383"/>
      <w:r w:rsidRPr="00691B13">
        <w:rPr>
          <w:rFonts w:hint="eastAsia"/>
        </w:rPr>
        <w:t>W</w:t>
      </w:r>
      <w:r w:rsidRPr="00691B13">
        <w:t xml:space="preserve">ith dual connectivity architecture, UE can only be configured with at most one </w:t>
      </w:r>
      <w:proofErr w:type="spellStart"/>
      <w:r w:rsidRPr="00691B13">
        <w:t>SeNB</w:t>
      </w:r>
      <w:proofErr w:type="spellEnd"/>
      <w:r w:rsidRPr="00691B13">
        <w:t xml:space="preserve">.  If UE report measured cells associated with multiple candidate </w:t>
      </w:r>
      <w:proofErr w:type="spellStart"/>
      <w:r w:rsidRPr="00691B13">
        <w:t>SeNBs</w:t>
      </w:r>
      <w:proofErr w:type="spellEnd"/>
      <w:r w:rsidRPr="00691B13">
        <w:t xml:space="preserve">, only cells associated with one candidate </w:t>
      </w:r>
      <w:proofErr w:type="spellStart"/>
      <w:r w:rsidRPr="00691B13">
        <w:t>SeNB</w:t>
      </w:r>
      <w:proofErr w:type="spellEnd"/>
      <w:r w:rsidRPr="00691B13">
        <w:t xml:space="preserve"> can be added as </w:t>
      </w:r>
      <w:proofErr w:type="spellStart"/>
      <w:r w:rsidRPr="00691B13">
        <w:t>Scells</w:t>
      </w:r>
      <w:proofErr w:type="spellEnd"/>
      <w:r w:rsidRPr="00691B13">
        <w:t xml:space="preserve"> for the UE.</w:t>
      </w:r>
      <w:bookmarkEnd w:id="1"/>
    </w:p>
    <w:p w14:paraId="34E9B6AB" w14:textId="6845A2B2" w:rsidR="002A6C55" w:rsidRDefault="002A6C55" w:rsidP="002A6C55">
      <w:pPr>
        <w:pStyle w:val="ab"/>
      </w:pPr>
      <w:r>
        <w:t xml:space="preserve">The above observation is </w:t>
      </w:r>
      <w:r w:rsidR="00F4349C">
        <w:t xml:space="preserve">not only </w:t>
      </w:r>
      <w:r>
        <w:t xml:space="preserve">for RRC_Connected UE but also applies the case of </w:t>
      </w:r>
      <w:proofErr w:type="spellStart"/>
      <w:r>
        <w:t>RRC_Idle</w:t>
      </w:r>
      <w:proofErr w:type="spellEnd"/>
      <w:r>
        <w:t xml:space="preserve"> UE. If an </w:t>
      </w:r>
      <w:proofErr w:type="spellStart"/>
      <w:r>
        <w:t>RRC_Idle</w:t>
      </w:r>
      <w:proofErr w:type="spellEnd"/>
      <w:r>
        <w:t xml:space="preserve"> UE wants to be configured with </w:t>
      </w:r>
      <w:proofErr w:type="spellStart"/>
      <w:r>
        <w:t>SCell</w:t>
      </w:r>
      <w:proofErr w:type="spellEnd"/>
      <w:r>
        <w:t xml:space="preserve"> fast after RRC connection establishment, it is also beneficial if UE can measure cells associated with one </w:t>
      </w:r>
      <w:proofErr w:type="spellStart"/>
      <w:r>
        <w:t>eNB</w:t>
      </w:r>
      <w:proofErr w:type="spellEnd"/>
      <w:r>
        <w:t>.</w:t>
      </w:r>
    </w:p>
    <w:p w14:paraId="747C50AE" w14:textId="2AFF822F" w:rsidR="00F4349C" w:rsidRPr="00691B13" w:rsidRDefault="00F4349C" w:rsidP="005552DA">
      <w:pPr>
        <w:pStyle w:val="Proposal"/>
        <w:numPr>
          <w:ilvl w:val="0"/>
          <w:numId w:val="13"/>
        </w:numPr>
        <w:tabs>
          <w:tab w:val="clear" w:pos="1304"/>
        </w:tabs>
      </w:pPr>
      <w:bookmarkStart w:id="2" w:name="_Toc506286384"/>
      <w:r w:rsidRPr="00691B13">
        <w:t xml:space="preserve">For both </w:t>
      </w:r>
      <w:proofErr w:type="spellStart"/>
      <w:r w:rsidRPr="00691B13">
        <w:t>RRC_Idle</w:t>
      </w:r>
      <w:proofErr w:type="spellEnd"/>
      <w:r w:rsidRPr="00691B13">
        <w:t xml:space="preserve"> and RRC_Connected UEs, it is beneficial if during measurement UE can distinguish if the cells being measured and to be reported are associated with a common </w:t>
      </w:r>
      <w:proofErr w:type="spellStart"/>
      <w:r w:rsidRPr="00691B13">
        <w:t>eNB</w:t>
      </w:r>
      <w:proofErr w:type="spellEnd"/>
      <w:r w:rsidRPr="00691B13">
        <w:t>.</w:t>
      </w:r>
      <w:bookmarkEnd w:id="2"/>
    </w:p>
    <w:p w14:paraId="527F68D2" w14:textId="11090EDE" w:rsidR="00F4349C" w:rsidRDefault="00F4349C" w:rsidP="002A6C55">
      <w:pPr>
        <w:pStyle w:val="ab"/>
      </w:pPr>
      <w:r>
        <w:rPr>
          <w:rFonts w:hint="eastAsia"/>
        </w:rPr>
        <w:t>B</w:t>
      </w:r>
      <w:r>
        <w:t>ased on the observations, we propose:</w:t>
      </w:r>
    </w:p>
    <w:p w14:paraId="03CFADBD" w14:textId="0A222588" w:rsidR="00F4349C" w:rsidRPr="00F433E3" w:rsidRDefault="00F4349C" w:rsidP="005552DA">
      <w:pPr>
        <w:pStyle w:val="Proposal"/>
        <w:numPr>
          <w:ilvl w:val="0"/>
          <w:numId w:val="10"/>
        </w:numPr>
        <w:tabs>
          <w:tab w:val="clear" w:pos="1304"/>
        </w:tabs>
      </w:pPr>
      <w:bookmarkStart w:id="3" w:name="_Toc506281316"/>
      <w:bookmarkStart w:id="4" w:name="_Toc506284911"/>
      <w:bookmarkStart w:id="5" w:name="_Toc506286385"/>
      <w:r>
        <w:t xml:space="preserve">RAN2 to discuss how </w:t>
      </w:r>
      <w:r w:rsidR="00A319B6">
        <w:t xml:space="preserve">enhance the measurement mechanism </w:t>
      </w:r>
      <w:proofErr w:type="gramStart"/>
      <w:r w:rsidR="00A319B6">
        <w:t xml:space="preserve">in order </w:t>
      </w:r>
      <w:r>
        <w:t>to</w:t>
      </w:r>
      <w:proofErr w:type="gramEnd"/>
      <w:r>
        <w:t xml:space="preserve"> allow UE to distinguish if the measured cells are associated with a common </w:t>
      </w:r>
      <w:proofErr w:type="spellStart"/>
      <w:r>
        <w:t>eNB</w:t>
      </w:r>
      <w:proofErr w:type="spellEnd"/>
      <w:r>
        <w:t xml:space="preserve"> in order to support fast </w:t>
      </w:r>
      <w:proofErr w:type="spellStart"/>
      <w:r>
        <w:t>SCell</w:t>
      </w:r>
      <w:proofErr w:type="spellEnd"/>
      <w:r>
        <w:t xml:space="preserve"> configuration for both RRC_Connected and </w:t>
      </w:r>
      <w:proofErr w:type="spellStart"/>
      <w:r>
        <w:t>RRC_Idle</w:t>
      </w:r>
      <w:proofErr w:type="spellEnd"/>
      <w:r>
        <w:t xml:space="preserve"> UEs</w:t>
      </w:r>
      <w:r w:rsidRPr="00837D48">
        <w:t>.</w:t>
      </w:r>
      <w:bookmarkEnd w:id="3"/>
      <w:bookmarkEnd w:id="4"/>
      <w:bookmarkEnd w:id="5"/>
    </w:p>
    <w:p w14:paraId="238C056F" w14:textId="77777777" w:rsidR="00F4349C" w:rsidRPr="002A6C55" w:rsidRDefault="00F4349C" w:rsidP="002A6C55">
      <w:pPr>
        <w:pStyle w:val="ab"/>
      </w:pPr>
    </w:p>
    <w:p w14:paraId="1FB4110B" w14:textId="3AE952B0" w:rsidR="007F591A" w:rsidRPr="00F4349C" w:rsidRDefault="007F591A" w:rsidP="007F591A">
      <w:pPr>
        <w:pStyle w:val="2"/>
        <w:rPr>
          <w:sz w:val="28"/>
        </w:rPr>
      </w:pPr>
      <w:r w:rsidRPr="00F4349C">
        <w:rPr>
          <w:sz w:val="28"/>
        </w:rPr>
        <w:lastRenderedPageBreak/>
        <w:t xml:space="preserve">Measurement configuration for Fast </w:t>
      </w:r>
      <w:proofErr w:type="spellStart"/>
      <w:r w:rsidRPr="00F4349C">
        <w:rPr>
          <w:sz w:val="28"/>
        </w:rPr>
        <w:t>SCell</w:t>
      </w:r>
      <w:proofErr w:type="spellEnd"/>
      <w:r w:rsidRPr="00F4349C">
        <w:rPr>
          <w:sz w:val="28"/>
        </w:rPr>
        <w:t xml:space="preserve"> Configuration RRC_Connected UEs</w:t>
      </w:r>
    </w:p>
    <w:p w14:paraId="1EA73AD8" w14:textId="0A041EF7" w:rsidR="007F591A" w:rsidRDefault="007F591A" w:rsidP="00F90960">
      <w:r>
        <w:rPr>
          <w:rFonts w:hint="eastAsia"/>
        </w:rPr>
        <w:t>I</w:t>
      </w:r>
      <w:r>
        <w:t xml:space="preserve">n </w:t>
      </w:r>
      <w:r w:rsidR="00A319B6">
        <w:t xml:space="preserve">RRC_Connected, UE may be configured with MCG and SCG already or only configured with MCG.  We think no matter there is SCG configured or not, </w:t>
      </w:r>
      <w:proofErr w:type="gramStart"/>
      <w:r w:rsidR="00A319B6">
        <w:t>in order to</w:t>
      </w:r>
      <w:proofErr w:type="gramEnd"/>
      <w:r w:rsidR="00A319B6">
        <w:t xml:space="preserve"> configure </w:t>
      </w:r>
      <w:proofErr w:type="spellStart"/>
      <w:r w:rsidR="00A319B6">
        <w:t>Scells</w:t>
      </w:r>
      <w:proofErr w:type="spellEnd"/>
      <w:r w:rsidR="00A319B6">
        <w:t xml:space="preserve"> fast, in measurement configuration can be enhanced to let UE know which cells should be measured and reported in a prioritized way.  There can be two alternatives.</w:t>
      </w:r>
    </w:p>
    <w:p w14:paraId="5B248F58" w14:textId="70DD1BF1" w:rsidR="00A319B6" w:rsidRDefault="00A319B6" w:rsidP="005552DA">
      <w:pPr>
        <w:pStyle w:val="af7"/>
        <w:numPr>
          <w:ilvl w:val="0"/>
          <w:numId w:val="12"/>
        </w:numPr>
      </w:pPr>
      <w:r w:rsidRPr="00C64713">
        <w:rPr>
          <w:rFonts w:hint="eastAsia"/>
          <w:b/>
        </w:rPr>
        <w:t>A</w:t>
      </w:r>
      <w:r w:rsidRPr="00C64713">
        <w:rPr>
          <w:b/>
        </w:rPr>
        <w:t>lternative 1: To use PCI list.</w:t>
      </w:r>
      <w:r>
        <w:t xml:space="preserve">  With this option, there is no need to change the specification.  Relying on network implementation, the </w:t>
      </w:r>
      <w:proofErr w:type="spellStart"/>
      <w:r>
        <w:t>MeNB</w:t>
      </w:r>
      <w:proofErr w:type="spellEnd"/>
      <w:r>
        <w:t xml:space="preserve"> figure out the PCI list of the cells of the </w:t>
      </w:r>
      <w:proofErr w:type="spellStart"/>
      <w:r>
        <w:t>SeNB</w:t>
      </w:r>
      <w:proofErr w:type="spellEnd"/>
      <w:r>
        <w:t>(s).</w:t>
      </w:r>
    </w:p>
    <w:p w14:paraId="58FD12CC" w14:textId="2A2463FC" w:rsidR="00C64713" w:rsidRDefault="00C64713" w:rsidP="005552DA">
      <w:pPr>
        <w:pStyle w:val="af7"/>
        <w:numPr>
          <w:ilvl w:val="0"/>
          <w:numId w:val="12"/>
        </w:numPr>
      </w:pPr>
      <w:r w:rsidRPr="00C64713">
        <w:rPr>
          <w:rFonts w:hint="eastAsia"/>
          <w:b/>
        </w:rPr>
        <w:t>A</w:t>
      </w:r>
      <w:r w:rsidRPr="00C64713">
        <w:rPr>
          <w:b/>
        </w:rPr>
        <w:t xml:space="preserve">lternative 2: To use </w:t>
      </w:r>
      <w:proofErr w:type="spellStart"/>
      <w:r w:rsidRPr="00C64713">
        <w:rPr>
          <w:b/>
        </w:rPr>
        <w:t>eNB</w:t>
      </w:r>
      <w:proofErr w:type="spellEnd"/>
      <w:r w:rsidRPr="00C64713">
        <w:rPr>
          <w:b/>
        </w:rPr>
        <w:t xml:space="preserve"> ID.</w:t>
      </w:r>
      <w:r>
        <w:t xml:space="preserve">  With this option, </w:t>
      </w:r>
      <w:bookmarkStart w:id="6" w:name="_Hlk506283060"/>
      <w:r>
        <w:t xml:space="preserve">the network side can provide a configured </w:t>
      </w:r>
      <w:proofErr w:type="spellStart"/>
      <w:r>
        <w:t>eNB</w:t>
      </w:r>
      <w:proofErr w:type="spellEnd"/>
      <w:r>
        <w:t xml:space="preserve"> ID or just indicate UE to report cells with common </w:t>
      </w:r>
      <w:proofErr w:type="spellStart"/>
      <w:r>
        <w:t>eNB</w:t>
      </w:r>
      <w:proofErr w:type="spellEnd"/>
      <w:r>
        <w:t xml:space="preserve"> ID.  When UE perform measurement, UE prioritize the cells with the </w:t>
      </w:r>
      <w:proofErr w:type="spellStart"/>
      <w:r>
        <w:t>eNB</w:t>
      </w:r>
      <w:proofErr w:type="spellEnd"/>
      <w:r>
        <w:t xml:space="preserve"> ID if configured.  Here, it is noted that UE is required to read the E-CGI and strip out the </w:t>
      </w:r>
      <w:proofErr w:type="spellStart"/>
      <w:r>
        <w:t>eNB</w:t>
      </w:r>
      <w:proofErr w:type="spellEnd"/>
      <w:r>
        <w:t xml:space="preserve"> ID.  We think this is feasible because we assume that </w:t>
      </w:r>
      <w:proofErr w:type="gramStart"/>
      <w:r>
        <w:t>for the purpose of</w:t>
      </w:r>
      <w:proofErr w:type="gramEnd"/>
      <w:r>
        <w:t xml:space="preserve"> fast </w:t>
      </w:r>
      <w:proofErr w:type="spellStart"/>
      <w:r>
        <w:t>Scell</w:t>
      </w:r>
      <w:proofErr w:type="spellEnd"/>
      <w:r>
        <w:t xml:space="preserve"> configuration, UE can trigger measurement earlier than legacy.  For this option, if </w:t>
      </w:r>
      <w:proofErr w:type="spellStart"/>
      <w:r>
        <w:t>MeNB</w:t>
      </w:r>
      <w:proofErr w:type="spellEnd"/>
      <w:r>
        <w:t xml:space="preserve"> or serving </w:t>
      </w:r>
      <w:proofErr w:type="spellStart"/>
      <w:r>
        <w:t>eNB</w:t>
      </w:r>
      <w:proofErr w:type="spellEnd"/>
      <w:r>
        <w:t xml:space="preserve"> doesn’t configure the </w:t>
      </w:r>
      <w:proofErr w:type="spellStart"/>
      <w:r>
        <w:t>eNB</w:t>
      </w:r>
      <w:proofErr w:type="spellEnd"/>
      <w:r>
        <w:t xml:space="preserve"> ID to UE, it can also indicate UE to categorize the cells with common </w:t>
      </w:r>
      <w:proofErr w:type="spellStart"/>
      <w:r>
        <w:t>eNB</w:t>
      </w:r>
      <w:proofErr w:type="spellEnd"/>
      <w:r>
        <w:t xml:space="preserve"> and report to the UE so that </w:t>
      </w:r>
      <w:proofErr w:type="spellStart"/>
      <w:r>
        <w:t>eNB</w:t>
      </w:r>
      <w:proofErr w:type="spellEnd"/>
      <w:r>
        <w:t xml:space="preserve"> can quickly configure the reported cells as </w:t>
      </w:r>
      <w:proofErr w:type="spellStart"/>
      <w:r>
        <w:t>SCells</w:t>
      </w:r>
      <w:proofErr w:type="spellEnd"/>
      <w:r>
        <w:t>.</w:t>
      </w:r>
    </w:p>
    <w:bookmarkEnd w:id="6"/>
    <w:p w14:paraId="511C7F08" w14:textId="38E2B39F" w:rsidR="00C64713" w:rsidRDefault="00303663" w:rsidP="00C64713">
      <w:proofErr w:type="gramStart"/>
      <w:r>
        <w:t>Both of these</w:t>
      </w:r>
      <w:proofErr w:type="gramEnd"/>
      <w:r>
        <w:t xml:space="preserve"> two options have pros. and cons.  </w:t>
      </w:r>
      <w:r w:rsidR="00601919">
        <w:t xml:space="preserve">We think alternative 1 can reduce standardization impact.  However, in case of dense deployment, there may be PCI confusion thus PCI list may not be accurate. This is one potential issue for alternative 1.  </w:t>
      </w:r>
      <w:proofErr w:type="gramStart"/>
      <w:r>
        <w:t>In order to</w:t>
      </w:r>
      <w:proofErr w:type="gramEnd"/>
      <w:r>
        <w:t xml:space="preserve"> resolve the PCI confusion, UE need to read the E-CGI from neighbour cell’s SIB then it is the same with Alternative 2.  Alternative 1 also requires network side coordination to determine if the neighbour cells identified by PCI are associated with which </w:t>
      </w:r>
      <w:proofErr w:type="spellStart"/>
      <w:r>
        <w:t>neighboring</w:t>
      </w:r>
      <w:proofErr w:type="spellEnd"/>
      <w:r>
        <w:t xml:space="preserve"> </w:t>
      </w:r>
      <w:proofErr w:type="spellStart"/>
      <w:r>
        <w:t>eNBs</w:t>
      </w:r>
      <w:proofErr w:type="spellEnd"/>
      <w:r>
        <w:t xml:space="preserve"> which may bring complexity for network deployment and maintenance.</w:t>
      </w:r>
      <w:r>
        <w:rPr>
          <w:rFonts w:hint="eastAsia"/>
        </w:rPr>
        <w:t xml:space="preserve"> </w:t>
      </w:r>
      <w:r>
        <w:t xml:space="preserve"> </w:t>
      </w:r>
      <w:r w:rsidR="00601919">
        <w:t xml:space="preserve">Alternative 2 can solve the issue but it requires UE to read the SIB of measured cells </w:t>
      </w:r>
      <w:proofErr w:type="gramStart"/>
      <w:r w:rsidR="00601919">
        <w:t>in order to</w:t>
      </w:r>
      <w:proofErr w:type="gramEnd"/>
      <w:r w:rsidR="00601919">
        <w:t xml:space="preserve"> get the </w:t>
      </w:r>
      <w:proofErr w:type="spellStart"/>
      <w:r w:rsidR="00601919">
        <w:t>eNB</w:t>
      </w:r>
      <w:proofErr w:type="spellEnd"/>
      <w:r w:rsidR="00601919">
        <w:t xml:space="preserve"> ID.</w:t>
      </w:r>
      <w:r>
        <w:t xml:space="preserve">  And it brings standard impact to LTE RRC.</w:t>
      </w:r>
    </w:p>
    <w:p w14:paraId="23E26E03" w14:textId="1EB71583" w:rsidR="00303663" w:rsidRDefault="00303663" w:rsidP="00C64713">
      <w:r>
        <w:rPr>
          <w:rFonts w:hint="eastAsia"/>
        </w:rPr>
        <w:t>I</w:t>
      </w:r>
      <w:r>
        <w:t xml:space="preserve">n our view, for RRC_Connected UEs, as the serving </w:t>
      </w:r>
      <w:proofErr w:type="spellStart"/>
      <w:r>
        <w:t>eNB</w:t>
      </w:r>
      <w:proofErr w:type="spellEnd"/>
      <w:r>
        <w:t xml:space="preserve"> or </w:t>
      </w:r>
      <w:proofErr w:type="spellStart"/>
      <w:r>
        <w:t>MeNB</w:t>
      </w:r>
      <w:proofErr w:type="spellEnd"/>
      <w:r>
        <w:t xml:space="preserve"> can provide measurement configuration to the UE, the problem of Alternative 1 may not be so serious.  Thus, both two options can be </w:t>
      </w:r>
      <w:r w:rsidR="00D02899">
        <w:t>workable</w:t>
      </w:r>
      <w:r>
        <w:t>.</w:t>
      </w:r>
    </w:p>
    <w:p w14:paraId="6D5151CB" w14:textId="1700543B" w:rsidR="00D02899" w:rsidRPr="00691B13" w:rsidRDefault="00D02899" w:rsidP="005552DA">
      <w:pPr>
        <w:pStyle w:val="Proposal"/>
        <w:numPr>
          <w:ilvl w:val="0"/>
          <w:numId w:val="13"/>
        </w:numPr>
        <w:tabs>
          <w:tab w:val="clear" w:pos="1304"/>
        </w:tabs>
      </w:pPr>
      <w:bookmarkStart w:id="7" w:name="_Toc506286386"/>
      <w:r w:rsidRPr="00691B13">
        <w:t>For RRC_Connected UE, Alternative 1 and 2 are workable.</w:t>
      </w:r>
      <w:bookmarkEnd w:id="7"/>
    </w:p>
    <w:p w14:paraId="19C1E5EB" w14:textId="77777777" w:rsidR="00D02899" w:rsidRDefault="00D02899" w:rsidP="00C64713"/>
    <w:p w14:paraId="2D8E0BD6" w14:textId="7E64FAE2" w:rsidR="007F591A" w:rsidRPr="007F591A" w:rsidRDefault="007F591A" w:rsidP="007F591A">
      <w:pPr>
        <w:pStyle w:val="2"/>
        <w:rPr>
          <w:sz w:val="24"/>
        </w:rPr>
      </w:pPr>
      <w:r w:rsidRPr="007F591A">
        <w:rPr>
          <w:sz w:val="24"/>
        </w:rPr>
        <w:t xml:space="preserve">Measurement configuration for Fast </w:t>
      </w:r>
      <w:proofErr w:type="spellStart"/>
      <w:r w:rsidRPr="007F591A">
        <w:rPr>
          <w:sz w:val="24"/>
        </w:rPr>
        <w:t>SCell</w:t>
      </w:r>
      <w:proofErr w:type="spellEnd"/>
      <w:r w:rsidRPr="007F591A">
        <w:rPr>
          <w:sz w:val="24"/>
        </w:rPr>
        <w:t xml:space="preserve"> Configuration </w:t>
      </w:r>
      <w:proofErr w:type="spellStart"/>
      <w:r w:rsidRPr="007F591A">
        <w:rPr>
          <w:sz w:val="24"/>
        </w:rPr>
        <w:t>RRC_Idle</w:t>
      </w:r>
      <w:proofErr w:type="spellEnd"/>
      <w:r w:rsidRPr="007F591A">
        <w:rPr>
          <w:sz w:val="24"/>
        </w:rPr>
        <w:t xml:space="preserve"> UEs</w:t>
      </w:r>
    </w:p>
    <w:p w14:paraId="41385878" w14:textId="17868BF6" w:rsidR="00F90960" w:rsidRDefault="006B056A" w:rsidP="00F90960">
      <w:r>
        <w:rPr>
          <w:rFonts w:hint="eastAsia"/>
        </w:rPr>
        <w:t>I</w:t>
      </w:r>
      <w:r>
        <w:t xml:space="preserve">n current TS 36.331, measurement configuration is performed only for UEs in RRC_Connected state.  When UE enters RRC_IDLE, the measurement configuration configured by </w:t>
      </w:r>
      <w:proofErr w:type="spellStart"/>
      <w:r>
        <w:t>eNB</w:t>
      </w:r>
      <w:proofErr w:type="spellEnd"/>
      <w:r>
        <w:t xml:space="preserve"> is released and UE performs measurement according to the measurement procedure in idle mode as specified in TS 36.304.</w:t>
      </w:r>
    </w:p>
    <w:p w14:paraId="1257C6D6" w14:textId="6306FD27" w:rsidR="006B056A" w:rsidRPr="00F90960" w:rsidRDefault="006B056A" w:rsidP="00F90960">
      <w:proofErr w:type="gramStart"/>
      <w:r>
        <w:rPr>
          <w:rFonts w:hint="eastAsia"/>
        </w:rPr>
        <w:t>I</w:t>
      </w:r>
      <w:r>
        <w:t>n order to</w:t>
      </w:r>
      <w:proofErr w:type="gramEnd"/>
      <w:r>
        <w:t xml:space="preserve"> support fast </w:t>
      </w:r>
      <w:proofErr w:type="spellStart"/>
      <w:r>
        <w:t>SCell</w:t>
      </w:r>
      <w:proofErr w:type="spellEnd"/>
      <w:r>
        <w:t xml:space="preserve"> setup, we think idle mode measurement configuration should be enhanced in a way that UE can keep the measurement configuration in certain time period and perform measurement for potential </w:t>
      </w:r>
      <w:proofErr w:type="spellStart"/>
      <w:r>
        <w:t>SCells</w:t>
      </w:r>
      <w:proofErr w:type="spellEnd"/>
      <w:r>
        <w:t xml:space="preserve">.  In this way, it is possible that UE can send the measurement report to the serving </w:t>
      </w:r>
      <w:proofErr w:type="spellStart"/>
      <w:r>
        <w:t>eNB</w:t>
      </w:r>
      <w:proofErr w:type="spellEnd"/>
      <w:r>
        <w:t xml:space="preserve"> to configure </w:t>
      </w:r>
      <w:proofErr w:type="spellStart"/>
      <w:r>
        <w:t>Scell</w:t>
      </w:r>
      <w:proofErr w:type="spellEnd"/>
      <w:r>
        <w:t xml:space="preserve"> directly.</w:t>
      </w:r>
    </w:p>
    <w:p w14:paraId="3FA8643F" w14:textId="4E3907DF" w:rsidR="006E498F" w:rsidRDefault="006E498F" w:rsidP="005552DA">
      <w:pPr>
        <w:pStyle w:val="Proposal"/>
        <w:numPr>
          <w:ilvl w:val="0"/>
          <w:numId w:val="10"/>
        </w:numPr>
        <w:tabs>
          <w:tab w:val="clear" w:pos="1304"/>
        </w:tabs>
      </w:pPr>
      <w:bookmarkStart w:id="8" w:name="_Toc505690180"/>
      <w:bookmarkStart w:id="9" w:name="_Toc505698170"/>
      <w:bookmarkStart w:id="10" w:name="_Toc505698743"/>
      <w:bookmarkStart w:id="11" w:name="_Toc505959262"/>
      <w:bookmarkStart w:id="12" w:name="_Toc505959272"/>
      <w:bookmarkStart w:id="13" w:name="_Toc506009206"/>
      <w:bookmarkStart w:id="14" w:name="_Toc506281317"/>
      <w:bookmarkStart w:id="15" w:name="_Toc506284912"/>
      <w:bookmarkStart w:id="16" w:name="_Hlk504493324"/>
      <w:bookmarkStart w:id="17" w:name="_Toc506286387"/>
      <w:r>
        <w:t xml:space="preserve">RAN2 </w:t>
      </w:r>
      <w:r w:rsidR="006B056A">
        <w:t xml:space="preserve">to agree that an idle mode UE </w:t>
      </w:r>
      <w:proofErr w:type="gramStart"/>
      <w:r w:rsidR="006B056A">
        <w:t>is allowed to</w:t>
      </w:r>
      <w:proofErr w:type="gramEnd"/>
      <w:r w:rsidR="006B056A">
        <w:t xml:space="preserve"> keep the measurement configuration in a certain time period and perform measurement for potential </w:t>
      </w:r>
      <w:proofErr w:type="spellStart"/>
      <w:r w:rsidR="006B056A">
        <w:t>SCells</w:t>
      </w:r>
      <w:proofErr w:type="spellEnd"/>
      <w:r w:rsidRPr="00837D48">
        <w:t>.</w:t>
      </w:r>
      <w:bookmarkEnd w:id="8"/>
      <w:bookmarkEnd w:id="9"/>
      <w:bookmarkEnd w:id="10"/>
      <w:bookmarkEnd w:id="11"/>
      <w:bookmarkEnd w:id="12"/>
      <w:bookmarkEnd w:id="13"/>
      <w:bookmarkEnd w:id="14"/>
      <w:bookmarkEnd w:id="15"/>
      <w:bookmarkEnd w:id="17"/>
    </w:p>
    <w:p w14:paraId="7CEFD6BE" w14:textId="2747F37D" w:rsidR="00D02899" w:rsidRDefault="00D02899" w:rsidP="00D02899">
      <w:r>
        <w:rPr>
          <w:rFonts w:hint="eastAsia"/>
        </w:rPr>
        <w:t>A</w:t>
      </w:r>
      <w:r>
        <w:t xml:space="preserve">lso, for </w:t>
      </w:r>
      <w:proofErr w:type="spellStart"/>
      <w:r>
        <w:t>RRC_Idle</w:t>
      </w:r>
      <w:proofErr w:type="spellEnd"/>
      <w:r>
        <w:t xml:space="preserve"> UEs, the two alternatives proposed can be considered.  However, as </w:t>
      </w:r>
      <w:proofErr w:type="spellStart"/>
      <w:r>
        <w:t>RRC_Idle</w:t>
      </w:r>
      <w:proofErr w:type="spellEnd"/>
      <w:r>
        <w:t xml:space="preserve"> can release the RRC connection and continue to perform the measurement, we think Alternative 2 is better because the measurement configuration for </w:t>
      </w:r>
      <w:proofErr w:type="spellStart"/>
      <w:r>
        <w:t>RRC_Idle</w:t>
      </w:r>
      <w:proofErr w:type="spellEnd"/>
      <w:r>
        <w:t xml:space="preserve"> UE may be valid for a large area where there can be many small cells as candidate </w:t>
      </w:r>
      <w:proofErr w:type="spellStart"/>
      <w:r>
        <w:t>SCells</w:t>
      </w:r>
      <w:proofErr w:type="spellEnd"/>
      <w:r>
        <w:t xml:space="preserve">.  In </w:t>
      </w:r>
      <w:proofErr w:type="spellStart"/>
      <w:r>
        <w:t>RRC_Idle</w:t>
      </w:r>
      <w:proofErr w:type="spellEnd"/>
      <w:r>
        <w:t xml:space="preserve"> case, there is no frequent change of the measurement configuration thus PCI list is may not be suitable.</w:t>
      </w:r>
    </w:p>
    <w:p w14:paraId="08D41196" w14:textId="6D4C5421" w:rsidR="00D02899" w:rsidRPr="00AE78B8" w:rsidRDefault="00D02899" w:rsidP="00AE78B8">
      <w:pPr>
        <w:pStyle w:val="Proposal"/>
        <w:numPr>
          <w:ilvl w:val="0"/>
          <w:numId w:val="13"/>
        </w:numPr>
        <w:tabs>
          <w:tab w:val="clear" w:pos="1304"/>
        </w:tabs>
      </w:pPr>
      <w:bookmarkStart w:id="18" w:name="_Toc506286388"/>
      <w:r>
        <w:t xml:space="preserve">For </w:t>
      </w:r>
      <w:proofErr w:type="spellStart"/>
      <w:r>
        <w:t>RRC_Idle</w:t>
      </w:r>
      <w:proofErr w:type="spellEnd"/>
      <w:r>
        <w:t xml:space="preserve"> UE, Alternative 2 can handle PCI confusion more easily.</w:t>
      </w:r>
      <w:bookmarkEnd w:id="18"/>
    </w:p>
    <w:p w14:paraId="4148F8E4" w14:textId="71D74D38" w:rsidR="00D02899" w:rsidRPr="00D02899" w:rsidRDefault="00D02899" w:rsidP="00D02899">
      <w:pPr>
        <w:pStyle w:val="2"/>
        <w:rPr>
          <w:sz w:val="24"/>
        </w:rPr>
      </w:pPr>
      <w:r w:rsidRPr="00D02899">
        <w:rPr>
          <w:sz w:val="24"/>
        </w:rPr>
        <w:t xml:space="preserve">Common solution for </w:t>
      </w:r>
      <w:proofErr w:type="spellStart"/>
      <w:r w:rsidRPr="00D02899">
        <w:rPr>
          <w:sz w:val="24"/>
        </w:rPr>
        <w:t>RRC_Idle</w:t>
      </w:r>
      <w:proofErr w:type="spellEnd"/>
      <w:r w:rsidRPr="00D02899">
        <w:rPr>
          <w:sz w:val="24"/>
        </w:rPr>
        <w:t xml:space="preserve"> and RRC_Connected</w:t>
      </w:r>
    </w:p>
    <w:p w14:paraId="0E54CD58" w14:textId="57EC8D66" w:rsidR="00D02899" w:rsidRDefault="00D02899" w:rsidP="00D02899">
      <w:r>
        <w:rPr>
          <w:rFonts w:hint="eastAsia"/>
        </w:rPr>
        <w:t>C</w:t>
      </w:r>
      <w:r>
        <w:t xml:space="preserve">onsidering common solution for both </w:t>
      </w:r>
      <w:proofErr w:type="spellStart"/>
      <w:r>
        <w:t>RRC_Idle</w:t>
      </w:r>
      <w:proofErr w:type="spellEnd"/>
      <w:r>
        <w:t xml:space="preserve"> and RRC_Connected, we think that Alternative 2 should be supported.</w:t>
      </w:r>
    </w:p>
    <w:p w14:paraId="7929B19D" w14:textId="77F9A790" w:rsidR="00691B13" w:rsidRDefault="00691B13" w:rsidP="005552DA">
      <w:pPr>
        <w:pStyle w:val="Proposal"/>
        <w:numPr>
          <w:ilvl w:val="0"/>
          <w:numId w:val="10"/>
        </w:numPr>
        <w:tabs>
          <w:tab w:val="clear" w:pos="1304"/>
        </w:tabs>
      </w:pPr>
      <w:bookmarkStart w:id="19" w:name="_Toc506284913"/>
      <w:bookmarkStart w:id="20" w:name="_Toc506286389"/>
      <w:r>
        <w:t xml:space="preserve">RAN2 to agree that Alternative 2 can be adopted for both </w:t>
      </w:r>
      <w:proofErr w:type="spellStart"/>
      <w:r>
        <w:t>RRC_Idle</w:t>
      </w:r>
      <w:proofErr w:type="spellEnd"/>
      <w:r>
        <w:t xml:space="preserve"> and RRC_Connected UEs, </w:t>
      </w:r>
      <w:proofErr w:type="spellStart"/>
      <w:r>
        <w:t>i.e</w:t>
      </w:r>
      <w:proofErr w:type="spellEnd"/>
      <w:r>
        <w:t xml:space="preserve">, the </w:t>
      </w:r>
      <w:proofErr w:type="spellStart"/>
      <w:r>
        <w:t>eNB</w:t>
      </w:r>
      <w:proofErr w:type="spellEnd"/>
      <w:r>
        <w:t xml:space="preserve"> can configure </w:t>
      </w:r>
      <w:proofErr w:type="spellStart"/>
      <w:r>
        <w:t>eNB</w:t>
      </w:r>
      <w:proofErr w:type="spellEnd"/>
      <w:r>
        <w:t xml:space="preserve"> ID or instruct UE to measure and report the cells with common </w:t>
      </w:r>
      <w:proofErr w:type="spellStart"/>
      <w:r>
        <w:t>eNB</w:t>
      </w:r>
      <w:proofErr w:type="spellEnd"/>
      <w:r>
        <w:t xml:space="preserve"> ID </w:t>
      </w:r>
      <w:proofErr w:type="gramStart"/>
      <w:r>
        <w:t>in order to</w:t>
      </w:r>
      <w:proofErr w:type="gramEnd"/>
      <w:r>
        <w:t xml:space="preserve"> enable fast </w:t>
      </w:r>
      <w:proofErr w:type="spellStart"/>
      <w:r>
        <w:t>SCell</w:t>
      </w:r>
      <w:proofErr w:type="spellEnd"/>
      <w:r>
        <w:t xml:space="preserve"> configuration</w:t>
      </w:r>
      <w:r w:rsidRPr="00837D48">
        <w:t>.</w:t>
      </w:r>
      <w:bookmarkEnd w:id="19"/>
      <w:bookmarkEnd w:id="20"/>
    </w:p>
    <w:p w14:paraId="28F9717A" w14:textId="77777777" w:rsidR="00691B13" w:rsidRPr="00F433E3" w:rsidRDefault="00691B13" w:rsidP="00D02899"/>
    <w:bookmarkEnd w:id="16"/>
    <w:p w14:paraId="58F498BF" w14:textId="2D19B1C9" w:rsidR="00C01F33" w:rsidRPr="00CE0424" w:rsidRDefault="00C01F33" w:rsidP="00CE0424">
      <w:pPr>
        <w:pStyle w:val="1"/>
      </w:pPr>
      <w:r w:rsidRPr="00CE0424">
        <w:lastRenderedPageBreak/>
        <w:t>Conclusion</w:t>
      </w:r>
    </w:p>
    <w:p w14:paraId="6E8BCEC3" w14:textId="192244A1" w:rsidR="00F433E3" w:rsidRDefault="00F433E3" w:rsidP="00A734F3">
      <w:pPr>
        <w:pStyle w:val="ab"/>
      </w:pPr>
      <w:r>
        <w:t xml:space="preserve">In this contribution, we discuss </w:t>
      </w:r>
      <w:r w:rsidR="00691B13">
        <w:t xml:space="preserve">measurement mechanisms for fast </w:t>
      </w:r>
      <w:proofErr w:type="spellStart"/>
      <w:r w:rsidR="00691B13">
        <w:t>SCell</w:t>
      </w:r>
      <w:proofErr w:type="spellEnd"/>
      <w:r w:rsidR="00691B13">
        <w:t xml:space="preserve"> configuration</w:t>
      </w:r>
      <w:r>
        <w:t xml:space="preserve"> and we have the following</w:t>
      </w:r>
      <w:r w:rsidR="00691B13">
        <w:t xml:space="preserve"> observations and proposals:</w:t>
      </w:r>
    </w:p>
    <w:p w14:paraId="7E2D1996" w14:textId="77777777" w:rsidR="00F433E3" w:rsidRDefault="00F433E3" w:rsidP="00A734F3">
      <w:pPr>
        <w:pStyle w:val="ab"/>
        <w:rPr>
          <w:b/>
          <w:bCs/>
        </w:rPr>
      </w:pPr>
    </w:p>
    <w:p w14:paraId="269A185A" w14:textId="77777777" w:rsidR="00AE78B8" w:rsidRDefault="00A734F3">
      <w:pPr>
        <w:pStyle w:val="11"/>
        <w:rPr>
          <w:rFonts w:asciiTheme="minorHAnsi" w:hAnsiTheme="minorHAnsi" w:cstheme="minorBidi"/>
          <w:b w:val="0"/>
          <w:kern w:val="2"/>
          <w:sz w:val="21"/>
        </w:rPr>
      </w:pPr>
      <w:r w:rsidRPr="00AD5542">
        <w:rPr>
          <w:b w:val="0"/>
          <w:bCs/>
          <w:szCs w:val="20"/>
        </w:rPr>
        <w:fldChar w:fldCharType="begin"/>
      </w:r>
      <w:r>
        <w:rPr>
          <w:bCs/>
        </w:rPr>
        <w:instrText xml:space="preserve"> TOC \f \n \p " " \t "Proposal,1" </w:instrText>
      </w:r>
      <w:r w:rsidRPr="00AD5542">
        <w:rPr>
          <w:b w:val="0"/>
          <w:bCs/>
          <w:szCs w:val="20"/>
        </w:rPr>
        <w:fldChar w:fldCharType="separate"/>
      </w:r>
      <w:r w:rsidR="00AE78B8">
        <w:t>Observation 1</w:t>
      </w:r>
      <w:r w:rsidR="00AE78B8">
        <w:rPr>
          <w:rFonts w:asciiTheme="minorHAnsi" w:hAnsiTheme="minorHAnsi" w:cstheme="minorBidi"/>
          <w:b w:val="0"/>
          <w:kern w:val="2"/>
          <w:sz w:val="21"/>
        </w:rPr>
        <w:tab/>
      </w:r>
      <w:r w:rsidR="00AE78B8">
        <w:t>With dual connectivity architecture, UE can only be configured with at most one SeNB.  If UE report measured cells associated with multiple candidate SeNBs, only cells associated with one candidate SeNB can be added as Scells for the UE.</w:t>
      </w:r>
    </w:p>
    <w:p w14:paraId="00A505FF" w14:textId="77777777" w:rsidR="00AE78B8" w:rsidRDefault="00AE78B8">
      <w:pPr>
        <w:pStyle w:val="11"/>
        <w:rPr>
          <w:rFonts w:asciiTheme="minorHAnsi" w:hAnsiTheme="minorHAnsi" w:cstheme="minorBidi"/>
          <w:b w:val="0"/>
          <w:kern w:val="2"/>
          <w:sz w:val="21"/>
        </w:rPr>
      </w:pPr>
      <w:r>
        <w:t>Observation 2</w:t>
      </w:r>
      <w:r>
        <w:rPr>
          <w:rFonts w:asciiTheme="minorHAnsi" w:hAnsiTheme="minorHAnsi" w:cstheme="minorBidi"/>
          <w:b w:val="0"/>
          <w:kern w:val="2"/>
          <w:sz w:val="21"/>
        </w:rPr>
        <w:tab/>
      </w:r>
      <w:r>
        <w:t>For both RRC_Idle and RRC_Connected UEs, it is beneficial if during measurement UE can distinguish if the cells being measured and to be reported are associated with a common eNB.</w:t>
      </w:r>
    </w:p>
    <w:p w14:paraId="02F3AEAA" w14:textId="77777777" w:rsidR="00AE78B8" w:rsidRDefault="00AE78B8" w:rsidP="00AE78B8">
      <w:pPr>
        <w:pStyle w:val="11"/>
        <w:rPr>
          <w:rFonts w:asciiTheme="minorHAnsi" w:hAnsiTheme="minorHAnsi" w:cstheme="minorBidi"/>
          <w:b w:val="0"/>
          <w:kern w:val="2"/>
          <w:sz w:val="21"/>
        </w:rPr>
      </w:pPr>
      <w:r>
        <w:t>Observation 3</w:t>
      </w:r>
      <w:r>
        <w:rPr>
          <w:rFonts w:asciiTheme="minorHAnsi" w:hAnsiTheme="minorHAnsi" w:cstheme="minorBidi"/>
          <w:b w:val="0"/>
          <w:kern w:val="2"/>
          <w:sz w:val="21"/>
        </w:rPr>
        <w:tab/>
      </w:r>
      <w:r>
        <w:t>For RRC_Connected UE, Alternative 1 and 2 are workable.</w:t>
      </w:r>
    </w:p>
    <w:p w14:paraId="0A303FD9" w14:textId="77777777" w:rsidR="00AE78B8" w:rsidRDefault="00AE78B8" w:rsidP="00AE78B8">
      <w:pPr>
        <w:pStyle w:val="11"/>
        <w:rPr>
          <w:rFonts w:asciiTheme="minorHAnsi" w:hAnsiTheme="minorHAnsi" w:cstheme="minorBidi"/>
          <w:b w:val="0"/>
          <w:kern w:val="2"/>
          <w:sz w:val="21"/>
        </w:rPr>
      </w:pPr>
      <w:r>
        <w:t>Observation 4</w:t>
      </w:r>
      <w:r>
        <w:rPr>
          <w:rFonts w:asciiTheme="minorHAnsi" w:hAnsiTheme="minorHAnsi" w:cstheme="minorBidi"/>
          <w:b w:val="0"/>
          <w:kern w:val="2"/>
          <w:sz w:val="21"/>
        </w:rPr>
        <w:tab/>
      </w:r>
      <w:r>
        <w:t>For RRC_Idle UE, Alternative 2 can handle PCI confusion more easily.</w:t>
      </w:r>
    </w:p>
    <w:p w14:paraId="54B3FCD3" w14:textId="77777777" w:rsidR="00AE78B8" w:rsidRDefault="00AE78B8">
      <w:pPr>
        <w:pStyle w:val="11"/>
      </w:pPr>
    </w:p>
    <w:p w14:paraId="55E3BE2F" w14:textId="78EA6F12" w:rsidR="00AE78B8" w:rsidRDefault="00AE78B8">
      <w:pPr>
        <w:pStyle w:val="11"/>
        <w:rPr>
          <w:rFonts w:asciiTheme="minorHAnsi" w:hAnsiTheme="minorHAnsi" w:cstheme="minorBidi"/>
          <w:b w:val="0"/>
          <w:kern w:val="2"/>
          <w:sz w:val="21"/>
        </w:rPr>
      </w:pPr>
      <w:r>
        <w:t>Proposal 1</w:t>
      </w:r>
      <w:r>
        <w:rPr>
          <w:rFonts w:asciiTheme="minorHAnsi" w:hAnsiTheme="minorHAnsi" w:cstheme="minorBidi"/>
          <w:b w:val="0"/>
          <w:kern w:val="2"/>
          <w:sz w:val="21"/>
        </w:rPr>
        <w:tab/>
      </w:r>
      <w:r>
        <w:t>RAN2 to discuss how enhance the measurement mechanism in order to allow UE to distinguish if the measured cells are associated with a common eNB in order to support fast SCell configuration for both RRC_Connected and RRC_Idle UEs.</w:t>
      </w:r>
    </w:p>
    <w:p w14:paraId="3BB0E0A0" w14:textId="77777777" w:rsidR="00AE78B8" w:rsidRDefault="00AE78B8">
      <w:pPr>
        <w:pStyle w:val="11"/>
        <w:rPr>
          <w:rFonts w:asciiTheme="minorHAnsi" w:hAnsiTheme="minorHAnsi" w:cstheme="minorBidi"/>
          <w:b w:val="0"/>
          <w:kern w:val="2"/>
          <w:sz w:val="21"/>
        </w:rPr>
      </w:pPr>
      <w:r>
        <w:t>Proposal 2</w:t>
      </w:r>
      <w:r>
        <w:rPr>
          <w:rFonts w:asciiTheme="minorHAnsi" w:hAnsiTheme="minorHAnsi" w:cstheme="minorBidi"/>
          <w:b w:val="0"/>
          <w:kern w:val="2"/>
          <w:sz w:val="21"/>
        </w:rPr>
        <w:tab/>
      </w:r>
      <w:r>
        <w:t>RAN2 to agree that an idle mode UE is allowed to keep the measurement configuration in a certain time period and perform measurement for potential SCells.</w:t>
      </w:r>
    </w:p>
    <w:p w14:paraId="018083C7" w14:textId="77777777" w:rsidR="00AE78B8" w:rsidRDefault="00AE78B8">
      <w:pPr>
        <w:pStyle w:val="11"/>
        <w:rPr>
          <w:rFonts w:asciiTheme="minorHAnsi" w:hAnsiTheme="minorHAnsi" w:cstheme="minorBidi"/>
          <w:b w:val="0"/>
          <w:kern w:val="2"/>
          <w:sz w:val="21"/>
        </w:rPr>
      </w:pPr>
      <w:r>
        <w:t>Proposal 3</w:t>
      </w:r>
      <w:r>
        <w:rPr>
          <w:rFonts w:asciiTheme="minorHAnsi" w:hAnsiTheme="minorHAnsi" w:cstheme="minorBidi"/>
          <w:b w:val="0"/>
          <w:kern w:val="2"/>
          <w:sz w:val="21"/>
        </w:rPr>
        <w:tab/>
      </w:r>
      <w:r>
        <w:t>RAN2 to agree that Alternative 2 can be adopted for both RRC_Idle and RRC_Connected UEs, i.e, the eNB can configure eNB ID or instruct UE to measure and report the cells with common eNB ID in order to enable fast SCell configuration.</w:t>
      </w:r>
    </w:p>
    <w:p w14:paraId="3EA8E563" w14:textId="377535B4" w:rsidR="00F507D1" w:rsidRPr="00CE0424" w:rsidRDefault="00A734F3" w:rsidP="00AC59FF">
      <w:pPr>
        <w:pStyle w:val="1"/>
        <w:numPr>
          <w:ilvl w:val="0"/>
          <w:numId w:val="0"/>
        </w:numPr>
      </w:pPr>
      <w:r w:rsidRPr="00AD5542">
        <w:rPr>
          <w:b/>
          <w:bCs/>
        </w:rPr>
        <w:fldChar w:fldCharType="end"/>
      </w:r>
      <w:bookmarkStart w:id="21" w:name="_In-sequence_SDU_delivery"/>
      <w:bookmarkEnd w:id="21"/>
      <w:r w:rsidR="00F507D1" w:rsidRPr="00CE0424">
        <w:t>References</w:t>
      </w:r>
    </w:p>
    <w:p w14:paraId="2046B8C9" w14:textId="14F6E501" w:rsidR="00100602" w:rsidRDefault="00EF63E7" w:rsidP="002A6C55">
      <w:pPr>
        <w:pStyle w:val="Reference"/>
      </w:pPr>
      <w:bookmarkStart w:id="22" w:name="_Ref505958263"/>
      <w:r>
        <w:rPr>
          <w:rFonts w:hint="eastAsia"/>
        </w:rPr>
        <w:t>M</w:t>
      </w:r>
      <w:r>
        <w:t>eeting Report of RAN2#100</w:t>
      </w:r>
      <w:bookmarkEnd w:id="22"/>
    </w:p>
    <w:p w14:paraId="5EBC115B" w14:textId="51676D5C" w:rsidR="00EF63E7" w:rsidRDefault="00EF63E7" w:rsidP="002A6C55">
      <w:pPr>
        <w:pStyle w:val="Reference"/>
      </w:pPr>
      <w:bookmarkStart w:id="23" w:name="_Ref505958274"/>
      <w:r w:rsidRPr="008027FE">
        <w:rPr>
          <w:color w:val="000000"/>
        </w:rPr>
        <w:t>R2-1712831</w:t>
      </w:r>
      <w:r w:rsidRPr="008027FE">
        <w:rPr>
          <w:color w:val="000000"/>
        </w:rPr>
        <w:tab/>
      </w:r>
      <w:r>
        <w:t xml:space="preserve">UE selection for measurement of faster </w:t>
      </w:r>
      <w:proofErr w:type="spellStart"/>
      <w:r>
        <w:t>Scells</w:t>
      </w:r>
      <w:proofErr w:type="spellEnd"/>
      <w:r>
        <w:t xml:space="preserve"> activation</w:t>
      </w:r>
      <w:r>
        <w:tab/>
        <w:t>vivo</w:t>
      </w:r>
      <w:bookmarkEnd w:id="23"/>
    </w:p>
    <w:sectPr w:rsidR="00EF63E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B3CA0" w14:textId="77777777" w:rsidR="00D9274A" w:rsidRDefault="00D9274A">
      <w:r>
        <w:separator/>
      </w:r>
    </w:p>
  </w:endnote>
  <w:endnote w:type="continuationSeparator" w:id="0">
    <w:p w14:paraId="5D3A7FA5" w14:textId="77777777" w:rsidR="00D9274A" w:rsidRDefault="00D92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B4AF5" w14:textId="3882C8B1" w:rsidR="00D02899" w:rsidRDefault="00D02899"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E5F3B">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E5F3B">
      <w:rPr>
        <w:rStyle w:val="ae"/>
      </w:rPr>
      <w:t>3</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178A5" w14:textId="77777777" w:rsidR="00D9274A" w:rsidRDefault="00D9274A">
      <w:r>
        <w:separator/>
      </w:r>
    </w:p>
  </w:footnote>
  <w:footnote w:type="continuationSeparator" w:id="0">
    <w:p w14:paraId="2D5ED104" w14:textId="77777777" w:rsidR="00D9274A" w:rsidRDefault="00D92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7F07F" w14:textId="77777777" w:rsidR="00D02899" w:rsidRDefault="00D028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255B88"/>
    <w:multiLevelType w:val="hybridMultilevel"/>
    <w:tmpl w:val="9894F6F0"/>
    <w:lvl w:ilvl="0" w:tplc="F39EBC38">
      <w:start w:val="1"/>
      <w:numFmt w:val="decimal"/>
      <w:lvlText w:val="Observation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88C33C0"/>
    <w:multiLevelType w:val="hybridMultilevel"/>
    <w:tmpl w:val="36282A2A"/>
    <w:lvl w:ilvl="0" w:tplc="08090001">
      <w:start w:val="1"/>
      <w:numFmt w:val="bullet"/>
      <w:lvlText w:val=""/>
      <w:lvlJc w:val="left"/>
      <w:pPr>
        <w:ind w:left="564" w:hanging="564"/>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30F200BE"/>
    <w:lvl w:ilvl="0" w:tplc="4120DBA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33183A"/>
    <w:multiLevelType w:val="hybridMultilevel"/>
    <w:tmpl w:val="4126B93C"/>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4DA0408"/>
    <w:multiLevelType w:val="hybridMultilevel"/>
    <w:tmpl w:val="94D05C0C"/>
    <w:lvl w:ilvl="0" w:tplc="E6248112">
      <w:start w:val="1"/>
      <w:numFmt w:val="decimal"/>
      <w:lvlText w:val="Proposal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2"/>
  </w:num>
  <w:num w:numId="8">
    <w:abstractNumId w:val="4"/>
  </w:num>
  <w:num w:numId="9">
    <w:abstractNumId w:val="9"/>
  </w:num>
  <w:num w:numId="10">
    <w:abstractNumId w:val="11"/>
  </w:num>
  <w:num w:numId="11">
    <w:abstractNumId w:val="10"/>
  </w:num>
  <w:num w:numId="12">
    <w:abstractNumId w:val="2"/>
  </w:num>
  <w:num w:numId="13">
    <w:abstractNumId w:val="1"/>
  </w:num>
  <w:num w:numId="1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qkFAJx7akwtAAAA"/>
  </w:docVars>
  <w:rsids>
    <w:rsidRoot w:val="004E3CFF"/>
    <w:rsid w:val="00000466"/>
    <w:rsid w:val="000006E1"/>
    <w:rsid w:val="00002A37"/>
    <w:rsid w:val="00006446"/>
    <w:rsid w:val="00006896"/>
    <w:rsid w:val="00007392"/>
    <w:rsid w:val="00007CDC"/>
    <w:rsid w:val="00011B28"/>
    <w:rsid w:val="00013950"/>
    <w:rsid w:val="000139FA"/>
    <w:rsid w:val="00014D9F"/>
    <w:rsid w:val="00015D15"/>
    <w:rsid w:val="00017E21"/>
    <w:rsid w:val="000247AC"/>
    <w:rsid w:val="0002564D"/>
    <w:rsid w:val="00025ECA"/>
    <w:rsid w:val="00026F49"/>
    <w:rsid w:val="000325B8"/>
    <w:rsid w:val="000343B8"/>
    <w:rsid w:val="0003484F"/>
    <w:rsid w:val="00034C15"/>
    <w:rsid w:val="00036BA1"/>
    <w:rsid w:val="000373A0"/>
    <w:rsid w:val="00040D2C"/>
    <w:rsid w:val="000422E2"/>
    <w:rsid w:val="00042F22"/>
    <w:rsid w:val="000444EF"/>
    <w:rsid w:val="000452C3"/>
    <w:rsid w:val="0004550C"/>
    <w:rsid w:val="00052A07"/>
    <w:rsid w:val="000534E3"/>
    <w:rsid w:val="0005606A"/>
    <w:rsid w:val="00057117"/>
    <w:rsid w:val="000616E7"/>
    <w:rsid w:val="0006487E"/>
    <w:rsid w:val="00065E1A"/>
    <w:rsid w:val="000677D1"/>
    <w:rsid w:val="00070D8C"/>
    <w:rsid w:val="00072811"/>
    <w:rsid w:val="00073B30"/>
    <w:rsid w:val="00077E5F"/>
    <w:rsid w:val="0008036A"/>
    <w:rsid w:val="00081AE6"/>
    <w:rsid w:val="00083D30"/>
    <w:rsid w:val="000855EB"/>
    <w:rsid w:val="00085B52"/>
    <w:rsid w:val="00085F54"/>
    <w:rsid w:val="000862DF"/>
    <w:rsid w:val="00086440"/>
    <w:rsid w:val="000866F2"/>
    <w:rsid w:val="0009009F"/>
    <w:rsid w:val="00091557"/>
    <w:rsid w:val="000924C1"/>
    <w:rsid w:val="000924F0"/>
    <w:rsid w:val="00093474"/>
    <w:rsid w:val="0009510F"/>
    <w:rsid w:val="000953CE"/>
    <w:rsid w:val="000A1B7B"/>
    <w:rsid w:val="000A56F2"/>
    <w:rsid w:val="000B180E"/>
    <w:rsid w:val="000B2719"/>
    <w:rsid w:val="000B2BC9"/>
    <w:rsid w:val="000B3A8F"/>
    <w:rsid w:val="000B4AB9"/>
    <w:rsid w:val="000B58C3"/>
    <w:rsid w:val="000B5D79"/>
    <w:rsid w:val="000B61E9"/>
    <w:rsid w:val="000C165A"/>
    <w:rsid w:val="000C2E19"/>
    <w:rsid w:val="000C435B"/>
    <w:rsid w:val="000C73CE"/>
    <w:rsid w:val="000D0941"/>
    <w:rsid w:val="000D0D07"/>
    <w:rsid w:val="000D4797"/>
    <w:rsid w:val="000D7D14"/>
    <w:rsid w:val="000E0527"/>
    <w:rsid w:val="000E1E92"/>
    <w:rsid w:val="000E1F13"/>
    <w:rsid w:val="000F06D6"/>
    <w:rsid w:val="000F0EB1"/>
    <w:rsid w:val="000F1106"/>
    <w:rsid w:val="000F2942"/>
    <w:rsid w:val="000F3BE9"/>
    <w:rsid w:val="000F3F6C"/>
    <w:rsid w:val="000F6DF3"/>
    <w:rsid w:val="001005FF"/>
    <w:rsid w:val="00100602"/>
    <w:rsid w:val="00101EC7"/>
    <w:rsid w:val="00104283"/>
    <w:rsid w:val="001062FB"/>
    <w:rsid w:val="001063E6"/>
    <w:rsid w:val="00113CF4"/>
    <w:rsid w:val="001153EA"/>
    <w:rsid w:val="00115643"/>
    <w:rsid w:val="00115B88"/>
    <w:rsid w:val="00116765"/>
    <w:rsid w:val="00116819"/>
    <w:rsid w:val="00116BEF"/>
    <w:rsid w:val="001219F5"/>
    <w:rsid w:val="00121A20"/>
    <w:rsid w:val="0012377F"/>
    <w:rsid w:val="00124314"/>
    <w:rsid w:val="00126B4A"/>
    <w:rsid w:val="0013241F"/>
    <w:rsid w:val="00132FD0"/>
    <w:rsid w:val="001344C0"/>
    <w:rsid w:val="001346FA"/>
    <w:rsid w:val="00135252"/>
    <w:rsid w:val="00137AA0"/>
    <w:rsid w:val="00137AB5"/>
    <w:rsid w:val="00137F0B"/>
    <w:rsid w:val="00150E8D"/>
    <w:rsid w:val="00151E23"/>
    <w:rsid w:val="001526E0"/>
    <w:rsid w:val="001551B5"/>
    <w:rsid w:val="00162D9B"/>
    <w:rsid w:val="001659C1"/>
    <w:rsid w:val="00170C86"/>
    <w:rsid w:val="00173A8E"/>
    <w:rsid w:val="00177BF7"/>
    <w:rsid w:val="0018143F"/>
    <w:rsid w:val="00187A73"/>
    <w:rsid w:val="00190AC1"/>
    <w:rsid w:val="0019341A"/>
    <w:rsid w:val="00194E17"/>
    <w:rsid w:val="00197DF9"/>
    <w:rsid w:val="001A1987"/>
    <w:rsid w:val="001A2564"/>
    <w:rsid w:val="001A36F9"/>
    <w:rsid w:val="001A4FD3"/>
    <w:rsid w:val="001A6173"/>
    <w:rsid w:val="001A6CBA"/>
    <w:rsid w:val="001A71EB"/>
    <w:rsid w:val="001B047C"/>
    <w:rsid w:val="001B0D97"/>
    <w:rsid w:val="001B3A1C"/>
    <w:rsid w:val="001B5A5D"/>
    <w:rsid w:val="001C1CE5"/>
    <w:rsid w:val="001C2AAA"/>
    <w:rsid w:val="001C3D2A"/>
    <w:rsid w:val="001D3329"/>
    <w:rsid w:val="001D51BA"/>
    <w:rsid w:val="001D6342"/>
    <w:rsid w:val="001D6D53"/>
    <w:rsid w:val="001E4085"/>
    <w:rsid w:val="001E58E2"/>
    <w:rsid w:val="001E6495"/>
    <w:rsid w:val="001E6A35"/>
    <w:rsid w:val="001E6C46"/>
    <w:rsid w:val="001E7AED"/>
    <w:rsid w:val="001F1694"/>
    <w:rsid w:val="001F3916"/>
    <w:rsid w:val="001F4230"/>
    <w:rsid w:val="001F54C5"/>
    <w:rsid w:val="001F662C"/>
    <w:rsid w:val="001F7074"/>
    <w:rsid w:val="001F7A66"/>
    <w:rsid w:val="00200490"/>
    <w:rsid w:val="00201F3A"/>
    <w:rsid w:val="00203EEA"/>
    <w:rsid w:val="00203F96"/>
    <w:rsid w:val="002069B2"/>
    <w:rsid w:val="00207FA3"/>
    <w:rsid w:val="002111EF"/>
    <w:rsid w:val="00214DA8"/>
    <w:rsid w:val="00215423"/>
    <w:rsid w:val="002158FA"/>
    <w:rsid w:val="00220600"/>
    <w:rsid w:val="00220E20"/>
    <w:rsid w:val="002224DB"/>
    <w:rsid w:val="00223FCB"/>
    <w:rsid w:val="00224B47"/>
    <w:rsid w:val="002252C3"/>
    <w:rsid w:val="00225C54"/>
    <w:rsid w:val="00230765"/>
    <w:rsid w:val="002319E4"/>
    <w:rsid w:val="00235632"/>
    <w:rsid w:val="00235872"/>
    <w:rsid w:val="00241559"/>
    <w:rsid w:val="00242C2B"/>
    <w:rsid w:val="002430EB"/>
    <w:rsid w:val="002435B3"/>
    <w:rsid w:val="002458EB"/>
    <w:rsid w:val="002500C8"/>
    <w:rsid w:val="00257543"/>
    <w:rsid w:val="002617E7"/>
    <w:rsid w:val="00264228"/>
    <w:rsid w:val="00264334"/>
    <w:rsid w:val="0026473E"/>
    <w:rsid w:val="00264C0F"/>
    <w:rsid w:val="00266214"/>
    <w:rsid w:val="00266C0D"/>
    <w:rsid w:val="00267C83"/>
    <w:rsid w:val="002702E8"/>
    <w:rsid w:val="0027144F"/>
    <w:rsid w:val="00271813"/>
    <w:rsid w:val="00271B14"/>
    <w:rsid w:val="00271F3A"/>
    <w:rsid w:val="00273278"/>
    <w:rsid w:val="002737F4"/>
    <w:rsid w:val="002805F5"/>
    <w:rsid w:val="002806A0"/>
    <w:rsid w:val="00280751"/>
    <w:rsid w:val="0028280A"/>
    <w:rsid w:val="002838E6"/>
    <w:rsid w:val="00286ACD"/>
    <w:rsid w:val="00287838"/>
    <w:rsid w:val="002907B5"/>
    <w:rsid w:val="00292EB7"/>
    <w:rsid w:val="00296227"/>
    <w:rsid w:val="00296F44"/>
    <w:rsid w:val="0029777D"/>
    <w:rsid w:val="002A055E"/>
    <w:rsid w:val="002A0818"/>
    <w:rsid w:val="002A1D4E"/>
    <w:rsid w:val="002A1D7A"/>
    <w:rsid w:val="002A2869"/>
    <w:rsid w:val="002A6C55"/>
    <w:rsid w:val="002A6E1F"/>
    <w:rsid w:val="002B24D6"/>
    <w:rsid w:val="002B2ED6"/>
    <w:rsid w:val="002B3381"/>
    <w:rsid w:val="002C1C90"/>
    <w:rsid w:val="002C41E6"/>
    <w:rsid w:val="002D071A"/>
    <w:rsid w:val="002D220E"/>
    <w:rsid w:val="002D2A51"/>
    <w:rsid w:val="002D34B2"/>
    <w:rsid w:val="002D4EF1"/>
    <w:rsid w:val="002D4F7D"/>
    <w:rsid w:val="002D7637"/>
    <w:rsid w:val="002E17F2"/>
    <w:rsid w:val="002E2DA4"/>
    <w:rsid w:val="002E6BCD"/>
    <w:rsid w:val="002E7CAE"/>
    <w:rsid w:val="002F1BF5"/>
    <w:rsid w:val="002F2771"/>
    <w:rsid w:val="002F37A9"/>
    <w:rsid w:val="00301204"/>
    <w:rsid w:val="00301CE6"/>
    <w:rsid w:val="0030256B"/>
    <w:rsid w:val="00303663"/>
    <w:rsid w:val="0030501F"/>
    <w:rsid w:val="00307BA1"/>
    <w:rsid w:val="00311702"/>
    <w:rsid w:val="00311E82"/>
    <w:rsid w:val="00313FD6"/>
    <w:rsid w:val="003143BD"/>
    <w:rsid w:val="0031498A"/>
    <w:rsid w:val="0031543E"/>
    <w:rsid w:val="003203ED"/>
    <w:rsid w:val="00322C9F"/>
    <w:rsid w:val="00324D23"/>
    <w:rsid w:val="00331751"/>
    <w:rsid w:val="00334579"/>
    <w:rsid w:val="00335858"/>
    <w:rsid w:val="00336AAE"/>
    <w:rsid w:val="00336BDA"/>
    <w:rsid w:val="0034087B"/>
    <w:rsid w:val="00341E82"/>
    <w:rsid w:val="00342BD7"/>
    <w:rsid w:val="0034415E"/>
    <w:rsid w:val="00344166"/>
    <w:rsid w:val="00346DB5"/>
    <w:rsid w:val="003477B1"/>
    <w:rsid w:val="00350983"/>
    <w:rsid w:val="00351255"/>
    <w:rsid w:val="0035126A"/>
    <w:rsid w:val="00352DD6"/>
    <w:rsid w:val="00353410"/>
    <w:rsid w:val="00357380"/>
    <w:rsid w:val="003602D9"/>
    <w:rsid w:val="003604CE"/>
    <w:rsid w:val="00370E47"/>
    <w:rsid w:val="00372901"/>
    <w:rsid w:val="00373819"/>
    <w:rsid w:val="003742AC"/>
    <w:rsid w:val="00377CE1"/>
    <w:rsid w:val="00385942"/>
    <w:rsid w:val="00385BF0"/>
    <w:rsid w:val="003862E9"/>
    <w:rsid w:val="00387221"/>
    <w:rsid w:val="0039084D"/>
    <w:rsid w:val="003939FF"/>
    <w:rsid w:val="00396290"/>
    <w:rsid w:val="003A10B7"/>
    <w:rsid w:val="003A2223"/>
    <w:rsid w:val="003A2A0F"/>
    <w:rsid w:val="003A45A1"/>
    <w:rsid w:val="003A5B0A"/>
    <w:rsid w:val="003A6BAC"/>
    <w:rsid w:val="003A7EF3"/>
    <w:rsid w:val="003B159C"/>
    <w:rsid w:val="003B369F"/>
    <w:rsid w:val="003B36A3"/>
    <w:rsid w:val="003B4481"/>
    <w:rsid w:val="003B546B"/>
    <w:rsid w:val="003B7FE5"/>
    <w:rsid w:val="003C11C8"/>
    <w:rsid w:val="003C2702"/>
    <w:rsid w:val="003C7806"/>
    <w:rsid w:val="003D084C"/>
    <w:rsid w:val="003D109F"/>
    <w:rsid w:val="003D2478"/>
    <w:rsid w:val="003D3C45"/>
    <w:rsid w:val="003D4022"/>
    <w:rsid w:val="003D5B1F"/>
    <w:rsid w:val="003D60A6"/>
    <w:rsid w:val="003E15FA"/>
    <w:rsid w:val="003E31C9"/>
    <w:rsid w:val="003E5176"/>
    <w:rsid w:val="003E55E4"/>
    <w:rsid w:val="003E74E3"/>
    <w:rsid w:val="003F05C7"/>
    <w:rsid w:val="003F2CD4"/>
    <w:rsid w:val="003F3B4D"/>
    <w:rsid w:val="003F435A"/>
    <w:rsid w:val="003F6BBE"/>
    <w:rsid w:val="004000E8"/>
    <w:rsid w:val="00400A50"/>
    <w:rsid w:val="00402BD1"/>
    <w:rsid w:val="00402E2B"/>
    <w:rsid w:val="0040512B"/>
    <w:rsid w:val="00405CA5"/>
    <w:rsid w:val="00407BFC"/>
    <w:rsid w:val="00407CD3"/>
    <w:rsid w:val="00410134"/>
    <w:rsid w:val="004109C1"/>
    <w:rsid w:val="00410B72"/>
    <w:rsid w:val="00410F18"/>
    <w:rsid w:val="0041263E"/>
    <w:rsid w:val="00413506"/>
    <w:rsid w:val="00413AAC"/>
    <w:rsid w:val="00413E92"/>
    <w:rsid w:val="0041605E"/>
    <w:rsid w:val="00421105"/>
    <w:rsid w:val="004222CB"/>
    <w:rsid w:val="004242F4"/>
    <w:rsid w:val="00427248"/>
    <w:rsid w:val="004323AF"/>
    <w:rsid w:val="004342EA"/>
    <w:rsid w:val="00437447"/>
    <w:rsid w:val="00440A19"/>
    <w:rsid w:val="00441A92"/>
    <w:rsid w:val="004421DB"/>
    <w:rsid w:val="004439D5"/>
    <w:rsid w:val="00444F56"/>
    <w:rsid w:val="00446488"/>
    <w:rsid w:val="00446CEE"/>
    <w:rsid w:val="0044700E"/>
    <w:rsid w:val="004517AA"/>
    <w:rsid w:val="00452CAC"/>
    <w:rsid w:val="00453918"/>
    <w:rsid w:val="00453CE7"/>
    <w:rsid w:val="00457565"/>
    <w:rsid w:val="00457B71"/>
    <w:rsid w:val="00463A36"/>
    <w:rsid w:val="00465DDE"/>
    <w:rsid w:val="004669E2"/>
    <w:rsid w:val="00470292"/>
    <w:rsid w:val="00470C31"/>
    <w:rsid w:val="004734D0"/>
    <w:rsid w:val="00473C03"/>
    <w:rsid w:val="0047556B"/>
    <w:rsid w:val="00477768"/>
    <w:rsid w:val="00490866"/>
    <w:rsid w:val="004912E1"/>
    <w:rsid w:val="0049275C"/>
    <w:rsid w:val="00492BC5"/>
    <w:rsid w:val="004941C4"/>
    <w:rsid w:val="00494ABC"/>
    <w:rsid w:val="00494CAD"/>
    <w:rsid w:val="004964F1"/>
    <w:rsid w:val="004A0906"/>
    <w:rsid w:val="004A16BC"/>
    <w:rsid w:val="004A2B94"/>
    <w:rsid w:val="004B5DE3"/>
    <w:rsid w:val="004B7C0C"/>
    <w:rsid w:val="004C242D"/>
    <w:rsid w:val="004C3898"/>
    <w:rsid w:val="004C6288"/>
    <w:rsid w:val="004D36B1"/>
    <w:rsid w:val="004D7EBD"/>
    <w:rsid w:val="004E2680"/>
    <w:rsid w:val="004E28F9"/>
    <w:rsid w:val="004E3CFF"/>
    <w:rsid w:val="004E462E"/>
    <w:rsid w:val="004E56DC"/>
    <w:rsid w:val="004E5F3B"/>
    <w:rsid w:val="004E654E"/>
    <w:rsid w:val="004E76F4"/>
    <w:rsid w:val="004E7A16"/>
    <w:rsid w:val="004F0B4E"/>
    <w:rsid w:val="004F0B6C"/>
    <w:rsid w:val="004F124F"/>
    <w:rsid w:val="004F2078"/>
    <w:rsid w:val="004F4DA3"/>
    <w:rsid w:val="00501824"/>
    <w:rsid w:val="00506557"/>
    <w:rsid w:val="0050677A"/>
    <w:rsid w:val="005074E1"/>
    <w:rsid w:val="005108D8"/>
    <w:rsid w:val="00510974"/>
    <w:rsid w:val="005116F9"/>
    <w:rsid w:val="005153A7"/>
    <w:rsid w:val="005161E2"/>
    <w:rsid w:val="0051694C"/>
    <w:rsid w:val="005171D2"/>
    <w:rsid w:val="005219CF"/>
    <w:rsid w:val="005253C6"/>
    <w:rsid w:val="005255E6"/>
    <w:rsid w:val="00534B59"/>
    <w:rsid w:val="005358DF"/>
    <w:rsid w:val="00536759"/>
    <w:rsid w:val="00536AEC"/>
    <w:rsid w:val="00537C62"/>
    <w:rsid w:val="00546970"/>
    <w:rsid w:val="00551922"/>
    <w:rsid w:val="00552A54"/>
    <w:rsid w:val="005532DE"/>
    <w:rsid w:val="00554E19"/>
    <w:rsid w:val="005552DA"/>
    <w:rsid w:val="0056121F"/>
    <w:rsid w:val="00564E21"/>
    <w:rsid w:val="00572505"/>
    <w:rsid w:val="00575D23"/>
    <w:rsid w:val="00582809"/>
    <w:rsid w:val="0058798C"/>
    <w:rsid w:val="005900FA"/>
    <w:rsid w:val="005935A4"/>
    <w:rsid w:val="00594175"/>
    <w:rsid w:val="005948C2"/>
    <w:rsid w:val="00595DCA"/>
    <w:rsid w:val="005967E3"/>
    <w:rsid w:val="0059779B"/>
    <w:rsid w:val="005A209A"/>
    <w:rsid w:val="005A5597"/>
    <w:rsid w:val="005A662D"/>
    <w:rsid w:val="005B01EB"/>
    <w:rsid w:val="005B35D7"/>
    <w:rsid w:val="005B392A"/>
    <w:rsid w:val="005B3AA3"/>
    <w:rsid w:val="005B4B4D"/>
    <w:rsid w:val="005B6F83"/>
    <w:rsid w:val="005C3D8D"/>
    <w:rsid w:val="005C693B"/>
    <w:rsid w:val="005C74FB"/>
    <w:rsid w:val="005D00D4"/>
    <w:rsid w:val="005D1602"/>
    <w:rsid w:val="005D2765"/>
    <w:rsid w:val="005D5E4D"/>
    <w:rsid w:val="005D6174"/>
    <w:rsid w:val="005E385F"/>
    <w:rsid w:val="005E50E1"/>
    <w:rsid w:val="005E54EA"/>
    <w:rsid w:val="005E5B81"/>
    <w:rsid w:val="005E6AA5"/>
    <w:rsid w:val="005E6B52"/>
    <w:rsid w:val="005E78FA"/>
    <w:rsid w:val="005F2890"/>
    <w:rsid w:val="005F2CB1"/>
    <w:rsid w:val="005F3025"/>
    <w:rsid w:val="005F618C"/>
    <w:rsid w:val="005F6794"/>
    <w:rsid w:val="005F6F98"/>
    <w:rsid w:val="005F70BD"/>
    <w:rsid w:val="00600816"/>
    <w:rsid w:val="00601919"/>
    <w:rsid w:val="0060283C"/>
    <w:rsid w:val="00604F14"/>
    <w:rsid w:val="006056BF"/>
    <w:rsid w:val="00606789"/>
    <w:rsid w:val="00610CB2"/>
    <w:rsid w:val="00611B83"/>
    <w:rsid w:val="00613257"/>
    <w:rsid w:val="0062018C"/>
    <w:rsid w:val="00620A71"/>
    <w:rsid w:val="00620D80"/>
    <w:rsid w:val="006218E6"/>
    <w:rsid w:val="006234A6"/>
    <w:rsid w:val="00630001"/>
    <w:rsid w:val="006311B3"/>
    <w:rsid w:val="0063284C"/>
    <w:rsid w:val="0063308C"/>
    <w:rsid w:val="006338B3"/>
    <w:rsid w:val="00636398"/>
    <w:rsid w:val="0063677C"/>
    <w:rsid w:val="006368D3"/>
    <w:rsid w:val="006377EC"/>
    <w:rsid w:val="0064151F"/>
    <w:rsid w:val="00641533"/>
    <w:rsid w:val="006418FE"/>
    <w:rsid w:val="0064208D"/>
    <w:rsid w:val="00643475"/>
    <w:rsid w:val="0064396A"/>
    <w:rsid w:val="0064624E"/>
    <w:rsid w:val="00650AB9"/>
    <w:rsid w:val="0065492B"/>
    <w:rsid w:val="006556E1"/>
    <w:rsid w:val="00655733"/>
    <w:rsid w:val="00655ACD"/>
    <w:rsid w:val="00656A92"/>
    <w:rsid w:val="00656DDE"/>
    <w:rsid w:val="00657236"/>
    <w:rsid w:val="0066011D"/>
    <w:rsid w:val="0066047A"/>
    <w:rsid w:val="006607C0"/>
    <w:rsid w:val="006613A6"/>
    <w:rsid w:val="006627A2"/>
    <w:rsid w:val="006634E6"/>
    <w:rsid w:val="006637B1"/>
    <w:rsid w:val="006655EE"/>
    <w:rsid w:val="00667EE7"/>
    <w:rsid w:val="00670922"/>
    <w:rsid w:val="00670BE1"/>
    <w:rsid w:val="0067218F"/>
    <w:rsid w:val="006741F2"/>
    <w:rsid w:val="00674CC3"/>
    <w:rsid w:val="006757CB"/>
    <w:rsid w:val="00675C72"/>
    <w:rsid w:val="00675FA6"/>
    <w:rsid w:val="00676337"/>
    <w:rsid w:val="006771F9"/>
    <w:rsid w:val="006776D7"/>
    <w:rsid w:val="00681003"/>
    <w:rsid w:val="0068151B"/>
    <w:rsid w:val="006817C9"/>
    <w:rsid w:val="00683ECE"/>
    <w:rsid w:val="00691301"/>
    <w:rsid w:val="00691B13"/>
    <w:rsid w:val="006923C6"/>
    <w:rsid w:val="00693792"/>
    <w:rsid w:val="00695FC2"/>
    <w:rsid w:val="00696949"/>
    <w:rsid w:val="00697052"/>
    <w:rsid w:val="006A3216"/>
    <w:rsid w:val="006A46FB"/>
    <w:rsid w:val="006A5E28"/>
    <w:rsid w:val="006A697B"/>
    <w:rsid w:val="006A7628"/>
    <w:rsid w:val="006A7AFF"/>
    <w:rsid w:val="006B056A"/>
    <w:rsid w:val="006B1816"/>
    <w:rsid w:val="006B2099"/>
    <w:rsid w:val="006B3C1B"/>
    <w:rsid w:val="006B50CF"/>
    <w:rsid w:val="006B7F28"/>
    <w:rsid w:val="006C03B8"/>
    <w:rsid w:val="006C0DA5"/>
    <w:rsid w:val="006C5EAC"/>
    <w:rsid w:val="006C5EC9"/>
    <w:rsid w:val="006C6059"/>
    <w:rsid w:val="006C6942"/>
    <w:rsid w:val="006C7522"/>
    <w:rsid w:val="006D2017"/>
    <w:rsid w:val="006D6F08"/>
    <w:rsid w:val="006E062C"/>
    <w:rsid w:val="006E2501"/>
    <w:rsid w:val="006E28B7"/>
    <w:rsid w:val="006E2B95"/>
    <w:rsid w:val="006E3310"/>
    <w:rsid w:val="006E498F"/>
    <w:rsid w:val="006E4E39"/>
    <w:rsid w:val="006E565E"/>
    <w:rsid w:val="006E5F94"/>
    <w:rsid w:val="006E673D"/>
    <w:rsid w:val="006E6E27"/>
    <w:rsid w:val="006E7D3B"/>
    <w:rsid w:val="006F1B70"/>
    <w:rsid w:val="006F322B"/>
    <w:rsid w:val="006F341D"/>
    <w:rsid w:val="006F3620"/>
    <w:rsid w:val="006F3CDE"/>
    <w:rsid w:val="006F58D4"/>
    <w:rsid w:val="0070346E"/>
    <w:rsid w:val="007034FF"/>
    <w:rsid w:val="00703595"/>
    <w:rsid w:val="00704EDB"/>
    <w:rsid w:val="00706101"/>
    <w:rsid w:val="00707072"/>
    <w:rsid w:val="00707BED"/>
    <w:rsid w:val="00707D61"/>
    <w:rsid w:val="00712287"/>
    <w:rsid w:val="00712772"/>
    <w:rsid w:val="0071341D"/>
    <w:rsid w:val="00713C21"/>
    <w:rsid w:val="007148D3"/>
    <w:rsid w:val="00715136"/>
    <w:rsid w:val="00715B9A"/>
    <w:rsid w:val="00726956"/>
    <w:rsid w:val="00726EA6"/>
    <w:rsid w:val="00727208"/>
    <w:rsid w:val="00727680"/>
    <w:rsid w:val="007348B1"/>
    <w:rsid w:val="00735097"/>
    <w:rsid w:val="007362A6"/>
    <w:rsid w:val="00736D7D"/>
    <w:rsid w:val="007374D4"/>
    <w:rsid w:val="00740E58"/>
    <w:rsid w:val="007445A0"/>
    <w:rsid w:val="0074524B"/>
    <w:rsid w:val="007479FB"/>
    <w:rsid w:val="00747D8B"/>
    <w:rsid w:val="00751228"/>
    <w:rsid w:val="00753719"/>
    <w:rsid w:val="00753F07"/>
    <w:rsid w:val="007542C5"/>
    <w:rsid w:val="007564E7"/>
    <w:rsid w:val="007571E1"/>
    <w:rsid w:val="007604B2"/>
    <w:rsid w:val="007618E6"/>
    <w:rsid w:val="00765281"/>
    <w:rsid w:val="00766BAD"/>
    <w:rsid w:val="00772F58"/>
    <w:rsid w:val="007755F2"/>
    <w:rsid w:val="00776971"/>
    <w:rsid w:val="0077717B"/>
    <w:rsid w:val="0078177E"/>
    <w:rsid w:val="00782852"/>
    <w:rsid w:val="0078304C"/>
    <w:rsid w:val="00783673"/>
    <w:rsid w:val="00784F26"/>
    <w:rsid w:val="00785490"/>
    <w:rsid w:val="00785A8B"/>
    <w:rsid w:val="00787972"/>
    <w:rsid w:val="00792469"/>
    <w:rsid w:val="007925EA"/>
    <w:rsid w:val="00793CD8"/>
    <w:rsid w:val="007951C5"/>
    <w:rsid w:val="00795C92"/>
    <w:rsid w:val="00796231"/>
    <w:rsid w:val="007A1092"/>
    <w:rsid w:val="007A1CB3"/>
    <w:rsid w:val="007A306F"/>
    <w:rsid w:val="007A43A6"/>
    <w:rsid w:val="007A58A6"/>
    <w:rsid w:val="007B1004"/>
    <w:rsid w:val="007B3D2D"/>
    <w:rsid w:val="007B50AE"/>
    <w:rsid w:val="007B51DF"/>
    <w:rsid w:val="007B53CA"/>
    <w:rsid w:val="007C05DD"/>
    <w:rsid w:val="007C2A73"/>
    <w:rsid w:val="007C3B1D"/>
    <w:rsid w:val="007C3D18"/>
    <w:rsid w:val="007C60BF"/>
    <w:rsid w:val="007C6A07"/>
    <w:rsid w:val="007C75A1"/>
    <w:rsid w:val="007C77A5"/>
    <w:rsid w:val="007D04E5"/>
    <w:rsid w:val="007D5901"/>
    <w:rsid w:val="007D7526"/>
    <w:rsid w:val="007E4610"/>
    <w:rsid w:val="007E4715"/>
    <w:rsid w:val="007E505B"/>
    <w:rsid w:val="007E691B"/>
    <w:rsid w:val="007E7091"/>
    <w:rsid w:val="007F591A"/>
    <w:rsid w:val="00803FAE"/>
    <w:rsid w:val="00804FC8"/>
    <w:rsid w:val="0080605F"/>
    <w:rsid w:val="00807786"/>
    <w:rsid w:val="00811FCB"/>
    <w:rsid w:val="00814BF0"/>
    <w:rsid w:val="00815163"/>
    <w:rsid w:val="008158D6"/>
    <w:rsid w:val="008165F5"/>
    <w:rsid w:val="00817196"/>
    <w:rsid w:val="008235DB"/>
    <w:rsid w:val="00823DA2"/>
    <w:rsid w:val="00824AB4"/>
    <w:rsid w:val="00825C2E"/>
    <w:rsid w:val="00825C42"/>
    <w:rsid w:val="00825D25"/>
    <w:rsid w:val="008269DE"/>
    <w:rsid w:val="00827206"/>
    <w:rsid w:val="00827D6F"/>
    <w:rsid w:val="00830087"/>
    <w:rsid w:val="008376AC"/>
    <w:rsid w:val="00837D48"/>
    <w:rsid w:val="008444E8"/>
    <w:rsid w:val="00844E80"/>
    <w:rsid w:val="00846FE7"/>
    <w:rsid w:val="00853B12"/>
    <w:rsid w:val="00853FD9"/>
    <w:rsid w:val="00854048"/>
    <w:rsid w:val="00856911"/>
    <w:rsid w:val="00865DD9"/>
    <w:rsid w:val="008677EC"/>
    <w:rsid w:val="008677FD"/>
    <w:rsid w:val="008706D4"/>
    <w:rsid w:val="00870F8A"/>
    <w:rsid w:val="008716EB"/>
    <w:rsid w:val="008719A4"/>
    <w:rsid w:val="00871D23"/>
    <w:rsid w:val="0087414C"/>
    <w:rsid w:val="00874312"/>
    <w:rsid w:val="0087437C"/>
    <w:rsid w:val="00875CD7"/>
    <w:rsid w:val="00876816"/>
    <w:rsid w:val="00876B4D"/>
    <w:rsid w:val="00877F18"/>
    <w:rsid w:val="008834EA"/>
    <w:rsid w:val="00890D00"/>
    <w:rsid w:val="008922C3"/>
    <w:rsid w:val="00894A88"/>
    <w:rsid w:val="00895386"/>
    <w:rsid w:val="00895C10"/>
    <w:rsid w:val="008A21FF"/>
    <w:rsid w:val="008A24B5"/>
    <w:rsid w:val="008A2CE2"/>
    <w:rsid w:val="008A30AC"/>
    <w:rsid w:val="008A44B8"/>
    <w:rsid w:val="008A51A8"/>
    <w:rsid w:val="008A54C7"/>
    <w:rsid w:val="008A7701"/>
    <w:rsid w:val="008A77D8"/>
    <w:rsid w:val="008B0483"/>
    <w:rsid w:val="008B120C"/>
    <w:rsid w:val="008B51A0"/>
    <w:rsid w:val="008B592A"/>
    <w:rsid w:val="008B7B5C"/>
    <w:rsid w:val="008C0C99"/>
    <w:rsid w:val="008C2017"/>
    <w:rsid w:val="008C4958"/>
    <w:rsid w:val="008C4BAA"/>
    <w:rsid w:val="008C6AE8"/>
    <w:rsid w:val="008C74C0"/>
    <w:rsid w:val="008C7573"/>
    <w:rsid w:val="008D1824"/>
    <w:rsid w:val="008D34F1"/>
    <w:rsid w:val="008D39D8"/>
    <w:rsid w:val="008D6D1A"/>
    <w:rsid w:val="008E065E"/>
    <w:rsid w:val="008E0927"/>
    <w:rsid w:val="008E1909"/>
    <w:rsid w:val="008E74D1"/>
    <w:rsid w:val="008E7DE2"/>
    <w:rsid w:val="008F1EAB"/>
    <w:rsid w:val="008F33DC"/>
    <w:rsid w:val="008F477F"/>
    <w:rsid w:val="00902161"/>
    <w:rsid w:val="00902350"/>
    <w:rsid w:val="0090336B"/>
    <w:rsid w:val="009053AA"/>
    <w:rsid w:val="00905FD6"/>
    <w:rsid w:val="00906939"/>
    <w:rsid w:val="00907486"/>
    <w:rsid w:val="00910B7D"/>
    <w:rsid w:val="00911DFB"/>
    <w:rsid w:val="009139D9"/>
    <w:rsid w:val="009145D9"/>
    <w:rsid w:val="00914AD8"/>
    <w:rsid w:val="00916079"/>
    <w:rsid w:val="00917CE9"/>
    <w:rsid w:val="0092074D"/>
    <w:rsid w:val="00920BF2"/>
    <w:rsid w:val="00922010"/>
    <w:rsid w:val="00930888"/>
    <w:rsid w:val="00931BD9"/>
    <w:rsid w:val="00932A3B"/>
    <w:rsid w:val="009368F3"/>
    <w:rsid w:val="00941636"/>
    <w:rsid w:val="00943742"/>
    <w:rsid w:val="00945C05"/>
    <w:rsid w:val="00946945"/>
    <w:rsid w:val="00947713"/>
    <w:rsid w:val="00950DE7"/>
    <w:rsid w:val="00952249"/>
    <w:rsid w:val="00953920"/>
    <w:rsid w:val="00953D47"/>
    <w:rsid w:val="00954B3E"/>
    <w:rsid w:val="0095681E"/>
    <w:rsid w:val="009572D4"/>
    <w:rsid w:val="00961921"/>
    <w:rsid w:val="0096430A"/>
    <w:rsid w:val="0096554B"/>
    <w:rsid w:val="0096584A"/>
    <w:rsid w:val="00966D0D"/>
    <w:rsid w:val="00966D37"/>
    <w:rsid w:val="00971F08"/>
    <w:rsid w:val="00973F0F"/>
    <w:rsid w:val="0097603D"/>
    <w:rsid w:val="00976949"/>
    <w:rsid w:val="00976E0D"/>
    <w:rsid w:val="00977246"/>
    <w:rsid w:val="00980477"/>
    <w:rsid w:val="00983A25"/>
    <w:rsid w:val="0098420C"/>
    <w:rsid w:val="00985253"/>
    <w:rsid w:val="009853B3"/>
    <w:rsid w:val="00990630"/>
    <w:rsid w:val="00991761"/>
    <w:rsid w:val="009922EB"/>
    <w:rsid w:val="00994DCA"/>
    <w:rsid w:val="009960EC"/>
    <w:rsid w:val="009970DD"/>
    <w:rsid w:val="009A0FBA"/>
    <w:rsid w:val="009A1601"/>
    <w:rsid w:val="009A1AA9"/>
    <w:rsid w:val="009A462D"/>
    <w:rsid w:val="009A5CBA"/>
    <w:rsid w:val="009A748A"/>
    <w:rsid w:val="009B0840"/>
    <w:rsid w:val="009B1F30"/>
    <w:rsid w:val="009B35FB"/>
    <w:rsid w:val="009B3AC2"/>
    <w:rsid w:val="009B4DF4"/>
    <w:rsid w:val="009B564E"/>
    <w:rsid w:val="009B7E87"/>
    <w:rsid w:val="009C26E5"/>
    <w:rsid w:val="009C3C83"/>
    <w:rsid w:val="009C403E"/>
    <w:rsid w:val="009C7426"/>
    <w:rsid w:val="009D3139"/>
    <w:rsid w:val="009D4FF0"/>
    <w:rsid w:val="009D703C"/>
    <w:rsid w:val="009D718F"/>
    <w:rsid w:val="009D74A2"/>
    <w:rsid w:val="009E068F"/>
    <w:rsid w:val="009E14E0"/>
    <w:rsid w:val="009E35DB"/>
    <w:rsid w:val="009E47A3"/>
    <w:rsid w:val="009E6B78"/>
    <w:rsid w:val="009F08F3"/>
    <w:rsid w:val="009F282C"/>
    <w:rsid w:val="009F2891"/>
    <w:rsid w:val="009F344F"/>
    <w:rsid w:val="009F4BE3"/>
    <w:rsid w:val="009F6EB2"/>
    <w:rsid w:val="00A00027"/>
    <w:rsid w:val="00A031D8"/>
    <w:rsid w:val="00A048A8"/>
    <w:rsid w:val="00A04F49"/>
    <w:rsid w:val="00A13E54"/>
    <w:rsid w:val="00A14ADD"/>
    <w:rsid w:val="00A16632"/>
    <w:rsid w:val="00A16D45"/>
    <w:rsid w:val="00A17F63"/>
    <w:rsid w:val="00A20DE9"/>
    <w:rsid w:val="00A2193B"/>
    <w:rsid w:val="00A22C18"/>
    <w:rsid w:val="00A22DFC"/>
    <w:rsid w:val="00A22FD5"/>
    <w:rsid w:val="00A2351A"/>
    <w:rsid w:val="00A264A9"/>
    <w:rsid w:val="00A27785"/>
    <w:rsid w:val="00A30187"/>
    <w:rsid w:val="00A319B6"/>
    <w:rsid w:val="00A326AD"/>
    <w:rsid w:val="00A32B33"/>
    <w:rsid w:val="00A3448A"/>
    <w:rsid w:val="00A35085"/>
    <w:rsid w:val="00A36297"/>
    <w:rsid w:val="00A36C59"/>
    <w:rsid w:val="00A41E2B"/>
    <w:rsid w:val="00A4229A"/>
    <w:rsid w:val="00A45B74"/>
    <w:rsid w:val="00A47C03"/>
    <w:rsid w:val="00A52E1D"/>
    <w:rsid w:val="00A5735F"/>
    <w:rsid w:val="00A61499"/>
    <w:rsid w:val="00A62A77"/>
    <w:rsid w:val="00A63483"/>
    <w:rsid w:val="00A657D7"/>
    <w:rsid w:val="00A660AC"/>
    <w:rsid w:val="00A67E6C"/>
    <w:rsid w:val="00A71B99"/>
    <w:rsid w:val="00A734F3"/>
    <w:rsid w:val="00A739D0"/>
    <w:rsid w:val="00A741C7"/>
    <w:rsid w:val="00A761D4"/>
    <w:rsid w:val="00A77EC4"/>
    <w:rsid w:val="00A80859"/>
    <w:rsid w:val="00A84D86"/>
    <w:rsid w:val="00A92879"/>
    <w:rsid w:val="00A9442A"/>
    <w:rsid w:val="00A960DC"/>
    <w:rsid w:val="00AA016F"/>
    <w:rsid w:val="00AA1ED6"/>
    <w:rsid w:val="00AA357F"/>
    <w:rsid w:val="00AA51D6"/>
    <w:rsid w:val="00AB0BC8"/>
    <w:rsid w:val="00AB11CA"/>
    <w:rsid w:val="00AB14D9"/>
    <w:rsid w:val="00AB1907"/>
    <w:rsid w:val="00AB2543"/>
    <w:rsid w:val="00AB4AB8"/>
    <w:rsid w:val="00AB5692"/>
    <w:rsid w:val="00AB62DF"/>
    <w:rsid w:val="00AB655E"/>
    <w:rsid w:val="00AC007F"/>
    <w:rsid w:val="00AC2ECD"/>
    <w:rsid w:val="00AC3119"/>
    <w:rsid w:val="00AC49FB"/>
    <w:rsid w:val="00AC4F85"/>
    <w:rsid w:val="00AC5713"/>
    <w:rsid w:val="00AC59FF"/>
    <w:rsid w:val="00AC5A10"/>
    <w:rsid w:val="00AD0AA3"/>
    <w:rsid w:val="00AD378C"/>
    <w:rsid w:val="00AD3F94"/>
    <w:rsid w:val="00AD4A5A"/>
    <w:rsid w:val="00AD5542"/>
    <w:rsid w:val="00AD6AB6"/>
    <w:rsid w:val="00AD7863"/>
    <w:rsid w:val="00AE20B9"/>
    <w:rsid w:val="00AE27AC"/>
    <w:rsid w:val="00AE40E0"/>
    <w:rsid w:val="00AE4DBA"/>
    <w:rsid w:val="00AE4F07"/>
    <w:rsid w:val="00AE78B8"/>
    <w:rsid w:val="00AF1C5D"/>
    <w:rsid w:val="00AF2498"/>
    <w:rsid w:val="00AF42D7"/>
    <w:rsid w:val="00B006FE"/>
    <w:rsid w:val="00B007CB"/>
    <w:rsid w:val="00B0110F"/>
    <w:rsid w:val="00B02AA9"/>
    <w:rsid w:val="00B02FA3"/>
    <w:rsid w:val="00B05084"/>
    <w:rsid w:val="00B06B32"/>
    <w:rsid w:val="00B141E9"/>
    <w:rsid w:val="00B157F9"/>
    <w:rsid w:val="00B20256"/>
    <w:rsid w:val="00B20D09"/>
    <w:rsid w:val="00B26E48"/>
    <w:rsid w:val="00B2763F"/>
    <w:rsid w:val="00B27AAC"/>
    <w:rsid w:val="00B27BC9"/>
    <w:rsid w:val="00B30929"/>
    <w:rsid w:val="00B372AA"/>
    <w:rsid w:val="00B40445"/>
    <w:rsid w:val="00B40E8C"/>
    <w:rsid w:val="00B41888"/>
    <w:rsid w:val="00B43CBD"/>
    <w:rsid w:val="00B43F8D"/>
    <w:rsid w:val="00B45A52"/>
    <w:rsid w:val="00B46175"/>
    <w:rsid w:val="00B56EDC"/>
    <w:rsid w:val="00B60C00"/>
    <w:rsid w:val="00B63238"/>
    <w:rsid w:val="00B664C7"/>
    <w:rsid w:val="00B70F3D"/>
    <w:rsid w:val="00B739F6"/>
    <w:rsid w:val="00B73E61"/>
    <w:rsid w:val="00B73FC4"/>
    <w:rsid w:val="00B81A6C"/>
    <w:rsid w:val="00B85DE5"/>
    <w:rsid w:val="00B86A76"/>
    <w:rsid w:val="00B90F73"/>
    <w:rsid w:val="00B93B59"/>
    <w:rsid w:val="00B93FAE"/>
    <w:rsid w:val="00B94049"/>
    <w:rsid w:val="00B9406A"/>
    <w:rsid w:val="00B978D0"/>
    <w:rsid w:val="00BA0914"/>
    <w:rsid w:val="00BA2280"/>
    <w:rsid w:val="00BA2A08"/>
    <w:rsid w:val="00BA3EF7"/>
    <w:rsid w:val="00BA5415"/>
    <w:rsid w:val="00BA56D2"/>
    <w:rsid w:val="00BA60FD"/>
    <w:rsid w:val="00BA76E0"/>
    <w:rsid w:val="00BB285E"/>
    <w:rsid w:val="00BB2A25"/>
    <w:rsid w:val="00BB388A"/>
    <w:rsid w:val="00BB51E9"/>
    <w:rsid w:val="00BB621E"/>
    <w:rsid w:val="00BC0FDC"/>
    <w:rsid w:val="00BC3053"/>
    <w:rsid w:val="00BC4D2E"/>
    <w:rsid w:val="00BD3F43"/>
    <w:rsid w:val="00BD3F79"/>
    <w:rsid w:val="00BD48AC"/>
    <w:rsid w:val="00BD5F1A"/>
    <w:rsid w:val="00BD696D"/>
    <w:rsid w:val="00BD6D79"/>
    <w:rsid w:val="00BE1234"/>
    <w:rsid w:val="00BE18A2"/>
    <w:rsid w:val="00BE2FA6"/>
    <w:rsid w:val="00BE333F"/>
    <w:rsid w:val="00BE7406"/>
    <w:rsid w:val="00BE7603"/>
    <w:rsid w:val="00BF3279"/>
    <w:rsid w:val="00BF74C7"/>
    <w:rsid w:val="00C015F1"/>
    <w:rsid w:val="00C01F33"/>
    <w:rsid w:val="00C02CC6"/>
    <w:rsid w:val="00C040F7"/>
    <w:rsid w:val="00C044AB"/>
    <w:rsid w:val="00C044DB"/>
    <w:rsid w:val="00C05706"/>
    <w:rsid w:val="00C07377"/>
    <w:rsid w:val="00C102D4"/>
    <w:rsid w:val="00C1038C"/>
    <w:rsid w:val="00C10478"/>
    <w:rsid w:val="00C12107"/>
    <w:rsid w:val="00C14D4B"/>
    <w:rsid w:val="00C154BB"/>
    <w:rsid w:val="00C22DF6"/>
    <w:rsid w:val="00C23F0F"/>
    <w:rsid w:val="00C279B5"/>
    <w:rsid w:val="00C27C45"/>
    <w:rsid w:val="00C362BE"/>
    <w:rsid w:val="00C3719D"/>
    <w:rsid w:val="00C417AE"/>
    <w:rsid w:val="00C451F5"/>
    <w:rsid w:val="00C46C77"/>
    <w:rsid w:val="00C470DF"/>
    <w:rsid w:val="00C53EA5"/>
    <w:rsid w:val="00C54995"/>
    <w:rsid w:val="00C54D41"/>
    <w:rsid w:val="00C60783"/>
    <w:rsid w:val="00C6229E"/>
    <w:rsid w:val="00C640F2"/>
    <w:rsid w:val="00C64672"/>
    <w:rsid w:val="00C64713"/>
    <w:rsid w:val="00C70697"/>
    <w:rsid w:val="00C70BE0"/>
    <w:rsid w:val="00C72EF4"/>
    <w:rsid w:val="00C73C87"/>
    <w:rsid w:val="00C73EB7"/>
    <w:rsid w:val="00C75D2F"/>
    <w:rsid w:val="00C767BE"/>
    <w:rsid w:val="00C76E3C"/>
    <w:rsid w:val="00C81568"/>
    <w:rsid w:val="00C84538"/>
    <w:rsid w:val="00C85ED7"/>
    <w:rsid w:val="00C864AE"/>
    <w:rsid w:val="00C87981"/>
    <w:rsid w:val="00C9027A"/>
    <w:rsid w:val="00C9068E"/>
    <w:rsid w:val="00C92770"/>
    <w:rsid w:val="00C93C4B"/>
    <w:rsid w:val="00C944AB"/>
    <w:rsid w:val="00C95B40"/>
    <w:rsid w:val="00C97CC6"/>
    <w:rsid w:val="00C97E3C"/>
    <w:rsid w:val="00CA1ED8"/>
    <w:rsid w:val="00CA4E1C"/>
    <w:rsid w:val="00CB00AD"/>
    <w:rsid w:val="00CB1F63"/>
    <w:rsid w:val="00CB3E73"/>
    <w:rsid w:val="00CB4D6A"/>
    <w:rsid w:val="00CB7170"/>
    <w:rsid w:val="00CC040E"/>
    <w:rsid w:val="00CC111F"/>
    <w:rsid w:val="00CC2011"/>
    <w:rsid w:val="00CC28ED"/>
    <w:rsid w:val="00CC36ED"/>
    <w:rsid w:val="00CC3EA0"/>
    <w:rsid w:val="00CC4784"/>
    <w:rsid w:val="00CC4EF7"/>
    <w:rsid w:val="00CC7B45"/>
    <w:rsid w:val="00CD1188"/>
    <w:rsid w:val="00CD1B3F"/>
    <w:rsid w:val="00CD2ED1"/>
    <w:rsid w:val="00CD337B"/>
    <w:rsid w:val="00CE0424"/>
    <w:rsid w:val="00CE2C8E"/>
    <w:rsid w:val="00CE4157"/>
    <w:rsid w:val="00CE7561"/>
    <w:rsid w:val="00CF1354"/>
    <w:rsid w:val="00CF3B1F"/>
    <w:rsid w:val="00CF3BF6"/>
    <w:rsid w:val="00CF57E0"/>
    <w:rsid w:val="00CF625B"/>
    <w:rsid w:val="00CF687E"/>
    <w:rsid w:val="00CF6A7A"/>
    <w:rsid w:val="00D00F3B"/>
    <w:rsid w:val="00D02899"/>
    <w:rsid w:val="00D03199"/>
    <w:rsid w:val="00D0349B"/>
    <w:rsid w:val="00D04220"/>
    <w:rsid w:val="00D076B4"/>
    <w:rsid w:val="00D07DFB"/>
    <w:rsid w:val="00D10249"/>
    <w:rsid w:val="00D115C3"/>
    <w:rsid w:val="00D11897"/>
    <w:rsid w:val="00D13135"/>
    <w:rsid w:val="00D13E4E"/>
    <w:rsid w:val="00D239A7"/>
    <w:rsid w:val="00D23F47"/>
    <w:rsid w:val="00D26008"/>
    <w:rsid w:val="00D27CA9"/>
    <w:rsid w:val="00D302C2"/>
    <w:rsid w:val="00D36E71"/>
    <w:rsid w:val="00D37D87"/>
    <w:rsid w:val="00D40B33"/>
    <w:rsid w:val="00D4318F"/>
    <w:rsid w:val="00D438BF"/>
    <w:rsid w:val="00D440F8"/>
    <w:rsid w:val="00D546FF"/>
    <w:rsid w:val="00D55205"/>
    <w:rsid w:val="00D558AE"/>
    <w:rsid w:val="00D55AD5"/>
    <w:rsid w:val="00D55E50"/>
    <w:rsid w:val="00D56F72"/>
    <w:rsid w:val="00D576CA"/>
    <w:rsid w:val="00D605A4"/>
    <w:rsid w:val="00D61AF5"/>
    <w:rsid w:val="00D623F0"/>
    <w:rsid w:val="00D652B5"/>
    <w:rsid w:val="00D66155"/>
    <w:rsid w:val="00D67AA8"/>
    <w:rsid w:val="00D708B0"/>
    <w:rsid w:val="00D72375"/>
    <w:rsid w:val="00D72C9E"/>
    <w:rsid w:val="00D77B1D"/>
    <w:rsid w:val="00D8021F"/>
    <w:rsid w:val="00D80383"/>
    <w:rsid w:val="00D822AF"/>
    <w:rsid w:val="00D823C6"/>
    <w:rsid w:val="00D83DC7"/>
    <w:rsid w:val="00D86CA3"/>
    <w:rsid w:val="00D871CE"/>
    <w:rsid w:val="00D905A6"/>
    <w:rsid w:val="00D9196D"/>
    <w:rsid w:val="00D9274A"/>
    <w:rsid w:val="00D92982"/>
    <w:rsid w:val="00D94F18"/>
    <w:rsid w:val="00D95100"/>
    <w:rsid w:val="00DA1EA9"/>
    <w:rsid w:val="00DA305E"/>
    <w:rsid w:val="00DA49A2"/>
    <w:rsid w:val="00DA5417"/>
    <w:rsid w:val="00DA56E8"/>
    <w:rsid w:val="00DB0A9F"/>
    <w:rsid w:val="00DB377D"/>
    <w:rsid w:val="00DB4376"/>
    <w:rsid w:val="00DC2B6D"/>
    <w:rsid w:val="00DC2D36"/>
    <w:rsid w:val="00DC4B03"/>
    <w:rsid w:val="00DC53EF"/>
    <w:rsid w:val="00DE5608"/>
    <w:rsid w:val="00DE58D0"/>
    <w:rsid w:val="00DE654F"/>
    <w:rsid w:val="00DF0B6E"/>
    <w:rsid w:val="00DF15E0"/>
    <w:rsid w:val="00DF2187"/>
    <w:rsid w:val="00DF37A0"/>
    <w:rsid w:val="00DF556F"/>
    <w:rsid w:val="00E0034A"/>
    <w:rsid w:val="00E04530"/>
    <w:rsid w:val="00E07177"/>
    <w:rsid w:val="00E104BC"/>
    <w:rsid w:val="00E1097C"/>
    <w:rsid w:val="00E110E7"/>
    <w:rsid w:val="00E11B20"/>
    <w:rsid w:val="00E178DD"/>
    <w:rsid w:val="00E17FA2"/>
    <w:rsid w:val="00E21AB0"/>
    <w:rsid w:val="00E22330"/>
    <w:rsid w:val="00E30B5A"/>
    <w:rsid w:val="00E3123D"/>
    <w:rsid w:val="00E31461"/>
    <w:rsid w:val="00E31D43"/>
    <w:rsid w:val="00E32608"/>
    <w:rsid w:val="00E34188"/>
    <w:rsid w:val="00E346F5"/>
    <w:rsid w:val="00E34B6E"/>
    <w:rsid w:val="00E35559"/>
    <w:rsid w:val="00E3723A"/>
    <w:rsid w:val="00E37860"/>
    <w:rsid w:val="00E4346F"/>
    <w:rsid w:val="00E44388"/>
    <w:rsid w:val="00E446F1"/>
    <w:rsid w:val="00E46886"/>
    <w:rsid w:val="00E46E29"/>
    <w:rsid w:val="00E47AEF"/>
    <w:rsid w:val="00E539C5"/>
    <w:rsid w:val="00E53B75"/>
    <w:rsid w:val="00E54070"/>
    <w:rsid w:val="00E54E3B"/>
    <w:rsid w:val="00E57565"/>
    <w:rsid w:val="00E63838"/>
    <w:rsid w:val="00E64434"/>
    <w:rsid w:val="00E66FE1"/>
    <w:rsid w:val="00E67C51"/>
    <w:rsid w:val="00E7046B"/>
    <w:rsid w:val="00E72EFC"/>
    <w:rsid w:val="00E73D0E"/>
    <w:rsid w:val="00E74235"/>
    <w:rsid w:val="00E74E72"/>
    <w:rsid w:val="00E758EC"/>
    <w:rsid w:val="00E8234C"/>
    <w:rsid w:val="00E83AA9"/>
    <w:rsid w:val="00E85928"/>
    <w:rsid w:val="00E87822"/>
    <w:rsid w:val="00E90395"/>
    <w:rsid w:val="00E904FE"/>
    <w:rsid w:val="00E90E49"/>
    <w:rsid w:val="00E917F9"/>
    <w:rsid w:val="00E9291C"/>
    <w:rsid w:val="00E93FFE"/>
    <w:rsid w:val="00E94F8A"/>
    <w:rsid w:val="00EA7A41"/>
    <w:rsid w:val="00EB076F"/>
    <w:rsid w:val="00EB077B"/>
    <w:rsid w:val="00EB4EA2"/>
    <w:rsid w:val="00EB6208"/>
    <w:rsid w:val="00EC27C6"/>
    <w:rsid w:val="00EC4207"/>
    <w:rsid w:val="00EC495E"/>
    <w:rsid w:val="00EC5653"/>
    <w:rsid w:val="00EC71CE"/>
    <w:rsid w:val="00ED1006"/>
    <w:rsid w:val="00ED3DFA"/>
    <w:rsid w:val="00ED4CB7"/>
    <w:rsid w:val="00EE6A31"/>
    <w:rsid w:val="00EF18FE"/>
    <w:rsid w:val="00EF1D5D"/>
    <w:rsid w:val="00EF5787"/>
    <w:rsid w:val="00EF60D0"/>
    <w:rsid w:val="00EF63E7"/>
    <w:rsid w:val="00EF743A"/>
    <w:rsid w:val="00EF763A"/>
    <w:rsid w:val="00F0259F"/>
    <w:rsid w:val="00F040E0"/>
    <w:rsid w:val="00F0528D"/>
    <w:rsid w:val="00F05AD8"/>
    <w:rsid w:val="00F06C67"/>
    <w:rsid w:val="00F06DFD"/>
    <w:rsid w:val="00F071D1"/>
    <w:rsid w:val="00F07533"/>
    <w:rsid w:val="00F10629"/>
    <w:rsid w:val="00F11E38"/>
    <w:rsid w:val="00F13CF1"/>
    <w:rsid w:val="00F15FA5"/>
    <w:rsid w:val="00F209B7"/>
    <w:rsid w:val="00F22838"/>
    <w:rsid w:val="00F2376F"/>
    <w:rsid w:val="00F23957"/>
    <w:rsid w:val="00F243D8"/>
    <w:rsid w:val="00F27853"/>
    <w:rsid w:val="00F30828"/>
    <w:rsid w:val="00F313D6"/>
    <w:rsid w:val="00F32A6B"/>
    <w:rsid w:val="00F378D4"/>
    <w:rsid w:val="00F40A53"/>
    <w:rsid w:val="00F40F0C"/>
    <w:rsid w:val="00F41286"/>
    <w:rsid w:val="00F433E3"/>
    <w:rsid w:val="00F4349C"/>
    <w:rsid w:val="00F46056"/>
    <w:rsid w:val="00F467E9"/>
    <w:rsid w:val="00F4766C"/>
    <w:rsid w:val="00F5060E"/>
    <w:rsid w:val="00F507D1"/>
    <w:rsid w:val="00F519CE"/>
    <w:rsid w:val="00F51ADA"/>
    <w:rsid w:val="00F57B72"/>
    <w:rsid w:val="00F607C5"/>
    <w:rsid w:val="00F60DEA"/>
    <w:rsid w:val="00F6302A"/>
    <w:rsid w:val="00F63A0B"/>
    <w:rsid w:val="00F64C2B"/>
    <w:rsid w:val="00F651BE"/>
    <w:rsid w:val="00F66AFC"/>
    <w:rsid w:val="00F67F53"/>
    <w:rsid w:val="00F703BE"/>
    <w:rsid w:val="00F71F69"/>
    <w:rsid w:val="00F72B72"/>
    <w:rsid w:val="00F74BB9"/>
    <w:rsid w:val="00F75582"/>
    <w:rsid w:val="00F756DC"/>
    <w:rsid w:val="00F76EFA"/>
    <w:rsid w:val="00F804BE"/>
    <w:rsid w:val="00F817CE"/>
    <w:rsid w:val="00F843E4"/>
    <w:rsid w:val="00F8456C"/>
    <w:rsid w:val="00F859D8"/>
    <w:rsid w:val="00F86347"/>
    <w:rsid w:val="00F86813"/>
    <w:rsid w:val="00F868F5"/>
    <w:rsid w:val="00F87730"/>
    <w:rsid w:val="00F8782D"/>
    <w:rsid w:val="00F9056A"/>
    <w:rsid w:val="00F90960"/>
    <w:rsid w:val="00F90DD5"/>
    <w:rsid w:val="00F90F8D"/>
    <w:rsid w:val="00F92782"/>
    <w:rsid w:val="00F93AA9"/>
    <w:rsid w:val="00F96985"/>
    <w:rsid w:val="00F975AB"/>
    <w:rsid w:val="00F97838"/>
    <w:rsid w:val="00FA237E"/>
    <w:rsid w:val="00FA2BB3"/>
    <w:rsid w:val="00FB28DC"/>
    <w:rsid w:val="00FB4C80"/>
    <w:rsid w:val="00FB50AC"/>
    <w:rsid w:val="00FB5516"/>
    <w:rsid w:val="00FB6A6A"/>
    <w:rsid w:val="00FC1220"/>
    <w:rsid w:val="00FC42EC"/>
    <w:rsid w:val="00FC583D"/>
    <w:rsid w:val="00FC7429"/>
    <w:rsid w:val="00FC7794"/>
    <w:rsid w:val="00FD07F6"/>
    <w:rsid w:val="00FD1EC8"/>
    <w:rsid w:val="00FD28B5"/>
    <w:rsid w:val="00FD2E78"/>
    <w:rsid w:val="00FD3D1D"/>
    <w:rsid w:val="00FD47ED"/>
    <w:rsid w:val="00FD74DB"/>
    <w:rsid w:val="00FD7660"/>
    <w:rsid w:val="00FE0655"/>
    <w:rsid w:val="00FE2365"/>
    <w:rsid w:val="00FE37D7"/>
    <w:rsid w:val="00FE4C7B"/>
    <w:rsid w:val="00FE7336"/>
    <w:rsid w:val="00FE7790"/>
    <w:rsid w:val="00FE787C"/>
    <w:rsid w:val="00FF25B7"/>
    <w:rsid w:val="00FF39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D38E0"/>
  <w15:docId w15:val="{D0131D0E-864A-4F76-A9A3-4A3C796BC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D332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Char,Heading 1 Char"/>
    <w:next w:val="a0"/>
    <w:link w:val="10"/>
    <w:qFormat/>
    <w:rsid w:val="001D332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Char Char"/>
    <w:basedOn w:val="1"/>
    <w:next w:val="a0"/>
    <w:qFormat/>
    <w:rsid w:val="001D332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0"/>
    <w:qFormat/>
    <w:rsid w:val="001D332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3"/>
    <w:next w:val="a0"/>
    <w:qFormat/>
    <w:rsid w:val="001D3329"/>
    <w:pPr>
      <w:numPr>
        <w:ilvl w:val="3"/>
      </w:numPr>
      <w:outlineLvl w:val="3"/>
    </w:pPr>
    <w:rPr>
      <w:sz w:val="24"/>
      <w:szCs w:val="24"/>
    </w:rPr>
  </w:style>
  <w:style w:type="paragraph" w:styleId="5">
    <w:name w:val="heading 5"/>
    <w:basedOn w:val="4"/>
    <w:next w:val="a0"/>
    <w:qFormat/>
    <w:rsid w:val="001D3329"/>
    <w:pPr>
      <w:numPr>
        <w:ilvl w:val="4"/>
      </w:numPr>
      <w:outlineLvl w:val="4"/>
    </w:pPr>
    <w:rPr>
      <w:sz w:val="22"/>
      <w:szCs w:val="22"/>
    </w:rPr>
  </w:style>
  <w:style w:type="paragraph" w:styleId="6">
    <w:name w:val="heading 6"/>
    <w:basedOn w:val="a0"/>
    <w:next w:val="a0"/>
    <w:qFormat/>
    <w:rsid w:val="001D3329"/>
    <w:pPr>
      <w:keepNext/>
      <w:keepLines/>
      <w:numPr>
        <w:ilvl w:val="5"/>
        <w:numId w:val="1"/>
      </w:numPr>
      <w:spacing w:before="120"/>
      <w:outlineLvl w:val="5"/>
    </w:pPr>
    <w:rPr>
      <w:rFonts w:cs="Arial"/>
    </w:rPr>
  </w:style>
  <w:style w:type="paragraph" w:styleId="7">
    <w:name w:val="heading 7"/>
    <w:basedOn w:val="a0"/>
    <w:next w:val="a0"/>
    <w:qFormat/>
    <w:rsid w:val="001D3329"/>
    <w:pPr>
      <w:keepNext/>
      <w:keepLines/>
      <w:numPr>
        <w:ilvl w:val="6"/>
        <w:numId w:val="1"/>
      </w:numPr>
      <w:spacing w:before="120"/>
      <w:outlineLvl w:val="6"/>
    </w:pPr>
    <w:rPr>
      <w:rFonts w:cs="Arial"/>
    </w:rPr>
  </w:style>
  <w:style w:type="paragraph" w:styleId="8">
    <w:name w:val="heading 8"/>
    <w:basedOn w:val="7"/>
    <w:next w:val="a0"/>
    <w:qFormat/>
    <w:rsid w:val="001D3329"/>
    <w:pPr>
      <w:numPr>
        <w:ilvl w:val="7"/>
      </w:numPr>
      <w:outlineLvl w:val="7"/>
    </w:pPr>
  </w:style>
  <w:style w:type="paragraph" w:styleId="9">
    <w:name w:val="heading 9"/>
    <w:basedOn w:val="8"/>
    <w:next w:val="a0"/>
    <w:qFormat/>
    <w:rsid w:val="001D332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1D3329"/>
    <w:pPr>
      <w:spacing w:before="180"/>
      <w:ind w:left="2693" w:hanging="2693"/>
    </w:pPr>
    <w:rPr>
      <w:b w:val="0"/>
      <w:bCs/>
    </w:rPr>
  </w:style>
  <w:style w:type="paragraph" w:styleId="11">
    <w:name w:val="toc 1"/>
    <w:aliases w:val="Observation TOC2"/>
    <w:uiPriority w:val="39"/>
    <w:rsid w:val="001D332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1D3329"/>
    <w:pPr>
      <w:keepNext/>
      <w:keepLines/>
      <w:spacing w:before="180"/>
      <w:jc w:val="center"/>
    </w:pPr>
  </w:style>
  <w:style w:type="paragraph" w:styleId="a4">
    <w:name w:val="caption"/>
    <w:basedOn w:val="a0"/>
    <w:next w:val="a0"/>
    <w:qFormat/>
    <w:rsid w:val="001D3329"/>
    <w:pPr>
      <w:spacing w:after="240"/>
      <w:jc w:val="center"/>
    </w:pPr>
    <w:rPr>
      <w:b/>
      <w:bCs/>
    </w:rPr>
  </w:style>
  <w:style w:type="paragraph" w:styleId="51">
    <w:name w:val="toc 5"/>
    <w:aliases w:val="Observation TOC"/>
    <w:basedOn w:val="41"/>
    <w:semiHidden/>
    <w:rsid w:val="001D3329"/>
    <w:pPr>
      <w:tabs>
        <w:tab w:val="right" w:pos="1701"/>
      </w:tabs>
      <w:ind w:left="1701" w:hanging="1701"/>
    </w:pPr>
  </w:style>
  <w:style w:type="paragraph" w:styleId="41">
    <w:name w:val="toc 4"/>
    <w:basedOn w:val="31"/>
    <w:semiHidden/>
    <w:rsid w:val="001D3329"/>
    <w:pPr>
      <w:ind w:left="1418" w:hanging="1418"/>
    </w:pPr>
  </w:style>
  <w:style w:type="paragraph" w:styleId="31">
    <w:name w:val="toc 3"/>
    <w:basedOn w:val="21"/>
    <w:semiHidden/>
    <w:rsid w:val="001D3329"/>
    <w:pPr>
      <w:ind w:left="1134" w:hanging="1134"/>
    </w:pPr>
  </w:style>
  <w:style w:type="paragraph" w:styleId="21">
    <w:name w:val="toc 2"/>
    <w:basedOn w:val="11"/>
    <w:uiPriority w:val="39"/>
    <w:rsid w:val="001D3329"/>
    <w:pPr>
      <w:keepNext w:val="0"/>
      <w:spacing w:before="0"/>
      <w:ind w:left="851" w:hanging="851"/>
    </w:pPr>
    <w:rPr>
      <w:szCs w:val="20"/>
    </w:rPr>
  </w:style>
  <w:style w:type="paragraph" w:styleId="22">
    <w:name w:val="index 2"/>
    <w:basedOn w:val="12"/>
    <w:semiHidden/>
    <w:rsid w:val="001D3329"/>
    <w:pPr>
      <w:ind w:left="284"/>
    </w:pPr>
  </w:style>
  <w:style w:type="paragraph" w:styleId="12">
    <w:name w:val="index 1"/>
    <w:basedOn w:val="a0"/>
    <w:semiHidden/>
    <w:rsid w:val="001D3329"/>
    <w:pPr>
      <w:keepLines/>
      <w:spacing w:after="0"/>
    </w:pPr>
  </w:style>
  <w:style w:type="paragraph" w:styleId="a5">
    <w:name w:val="Document Map"/>
    <w:basedOn w:val="a0"/>
    <w:semiHidden/>
    <w:rsid w:val="001D3329"/>
    <w:pPr>
      <w:shd w:val="clear" w:color="auto" w:fill="000080"/>
    </w:pPr>
    <w:rPr>
      <w:rFonts w:ascii="Tahoma" w:hAnsi="Tahoma" w:cs="Tahoma"/>
    </w:rPr>
  </w:style>
  <w:style w:type="paragraph" w:styleId="23">
    <w:name w:val="List Number 2"/>
    <w:basedOn w:val="a6"/>
    <w:rsid w:val="001D3329"/>
    <w:pPr>
      <w:ind w:left="851"/>
    </w:pPr>
  </w:style>
  <w:style w:type="paragraph" w:styleId="a6">
    <w:name w:val="List Number"/>
    <w:basedOn w:val="a7"/>
    <w:rsid w:val="001D3329"/>
  </w:style>
  <w:style w:type="paragraph" w:styleId="a7">
    <w:name w:val="List"/>
    <w:basedOn w:val="a0"/>
    <w:rsid w:val="001D3329"/>
    <w:pPr>
      <w:ind w:left="568" w:hanging="284"/>
    </w:pPr>
  </w:style>
  <w:style w:type="paragraph" w:styleId="a8">
    <w:name w:val="header"/>
    <w:rsid w:val="001D3329"/>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1D3329"/>
    <w:rPr>
      <w:b/>
      <w:bCs/>
      <w:position w:val="6"/>
      <w:sz w:val="16"/>
      <w:szCs w:val="16"/>
    </w:rPr>
  </w:style>
  <w:style w:type="paragraph" w:styleId="aa">
    <w:name w:val="footnote text"/>
    <w:basedOn w:val="a0"/>
    <w:semiHidden/>
    <w:rsid w:val="001D3329"/>
    <w:pPr>
      <w:keepLines/>
      <w:spacing w:after="0"/>
      <w:ind w:left="454" w:hanging="454"/>
    </w:pPr>
    <w:rPr>
      <w:sz w:val="16"/>
      <w:szCs w:val="16"/>
    </w:rPr>
  </w:style>
  <w:style w:type="paragraph" w:customStyle="1" w:styleId="3GPPHeader">
    <w:name w:val="3GPP_Header"/>
    <w:basedOn w:val="a0"/>
    <w:rsid w:val="001D3329"/>
    <w:pPr>
      <w:tabs>
        <w:tab w:val="left" w:pos="1701"/>
        <w:tab w:val="right" w:pos="9639"/>
      </w:tabs>
      <w:spacing w:after="240"/>
    </w:pPr>
    <w:rPr>
      <w:b/>
      <w:sz w:val="24"/>
    </w:rPr>
  </w:style>
  <w:style w:type="paragraph" w:styleId="90">
    <w:name w:val="toc 9"/>
    <w:basedOn w:val="80"/>
    <w:semiHidden/>
    <w:rsid w:val="001D3329"/>
    <w:pPr>
      <w:ind w:left="1418" w:hanging="1418"/>
    </w:pPr>
  </w:style>
  <w:style w:type="paragraph" w:styleId="60">
    <w:name w:val="toc 6"/>
    <w:basedOn w:val="51"/>
    <w:next w:val="a0"/>
    <w:semiHidden/>
    <w:rsid w:val="001D3329"/>
    <w:pPr>
      <w:ind w:left="1985" w:hanging="1985"/>
    </w:pPr>
  </w:style>
  <w:style w:type="paragraph" w:styleId="70">
    <w:name w:val="toc 7"/>
    <w:basedOn w:val="60"/>
    <w:next w:val="a0"/>
    <w:semiHidden/>
    <w:rsid w:val="001D3329"/>
    <w:pPr>
      <w:ind w:left="2268" w:hanging="2268"/>
    </w:pPr>
  </w:style>
  <w:style w:type="paragraph" w:styleId="20">
    <w:name w:val="List Bullet 2"/>
    <w:basedOn w:val="a"/>
    <w:rsid w:val="001D3329"/>
    <w:pPr>
      <w:numPr>
        <w:numId w:val="6"/>
      </w:numPr>
    </w:pPr>
  </w:style>
  <w:style w:type="paragraph" w:styleId="a">
    <w:name w:val="List Bullet"/>
    <w:basedOn w:val="ab"/>
    <w:rsid w:val="001D3329"/>
    <w:pPr>
      <w:numPr>
        <w:numId w:val="5"/>
      </w:numPr>
    </w:pPr>
  </w:style>
  <w:style w:type="paragraph" w:styleId="30">
    <w:name w:val="List Bullet 3"/>
    <w:basedOn w:val="20"/>
    <w:rsid w:val="001D3329"/>
    <w:pPr>
      <w:numPr>
        <w:numId w:val="7"/>
      </w:numPr>
    </w:pPr>
  </w:style>
  <w:style w:type="paragraph" w:customStyle="1" w:styleId="EQ">
    <w:name w:val="EQ"/>
    <w:basedOn w:val="a0"/>
    <w:next w:val="a0"/>
    <w:rsid w:val="001D3329"/>
    <w:pPr>
      <w:keepLines/>
      <w:tabs>
        <w:tab w:val="center" w:pos="4536"/>
        <w:tab w:val="right" w:pos="9072"/>
      </w:tabs>
      <w:spacing w:after="180"/>
      <w:jc w:val="left"/>
    </w:pPr>
    <w:rPr>
      <w:noProof/>
      <w:lang w:eastAsia="en-US"/>
    </w:rPr>
  </w:style>
  <w:style w:type="paragraph" w:styleId="24">
    <w:name w:val="List 2"/>
    <w:basedOn w:val="a7"/>
    <w:rsid w:val="001D3329"/>
    <w:pPr>
      <w:ind w:left="851"/>
    </w:pPr>
  </w:style>
  <w:style w:type="paragraph" w:styleId="32">
    <w:name w:val="List 3"/>
    <w:basedOn w:val="24"/>
    <w:rsid w:val="001D3329"/>
    <w:pPr>
      <w:ind w:left="1135"/>
    </w:pPr>
  </w:style>
  <w:style w:type="paragraph" w:styleId="42">
    <w:name w:val="List 4"/>
    <w:basedOn w:val="32"/>
    <w:rsid w:val="001D3329"/>
    <w:pPr>
      <w:ind w:left="1418"/>
    </w:pPr>
  </w:style>
  <w:style w:type="paragraph" w:styleId="52">
    <w:name w:val="List 5"/>
    <w:basedOn w:val="42"/>
    <w:rsid w:val="001D3329"/>
    <w:pPr>
      <w:ind w:left="1702"/>
    </w:pPr>
  </w:style>
  <w:style w:type="paragraph" w:customStyle="1" w:styleId="EditorsNote">
    <w:name w:val="Editor's Note"/>
    <w:basedOn w:val="a0"/>
    <w:rsid w:val="001D3329"/>
    <w:pPr>
      <w:keepLines/>
      <w:spacing w:after="180"/>
      <w:ind w:left="1135" w:hanging="851"/>
      <w:jc w:val="left"/>
    </w:pPr>
    <w:rPr>
      <w:color w:val="FF0000"/>
      <w:lang w:eastAsia="en-US"/>
    </w:rPr>
  </w:style>
  <w:style w:type="paragraph" w:styleId="40">
    <w:name w:val="List Bullet 4"/>
    <w:basedOn w:val="30"/>
    <w:rsid w:val="001D3329"/>
    <w:pPr>
      <w:numPr>
        <w:numId w:val="8"/>
      </w:numPr>
    </w:pPr>
  </w:style>
  <w:style w:type="paragraph" w:styleId="50">
    <w:name w:val="List Bullet 5"/>
    <w:basedOn w:val="40"/>
    <w:rsid w:val="001D3329"/>
    <w:pPr>
      <w:numPr>
        <w:numId w:val="4"/>
      </w:numPr>
    </w:pPr>
  </w:style>
  <w:style w:type="paragraph" w:styleId="ac">
    <w:name w:val="footer"/>
    <w:basedOn w:val="a8"/>
    <w:semiHidden/>
    <w:rsid w:val="001D3329"/>
    <w:pPr>
      <w:jc w:val="center"/>
    </w:pPr>
    <w:rPr>
      <w:i/>
      <w:iCs/>
    </w:rPr>
  </w:style>
  <w:style w:type="paragraph" w:customStyle="1" w:styleId="Reference">
    <w:name w:val="Reference"/>
    <w:basedOn w:val="a0"/>
    <w:rsid w:val="001D3329"/>
    <w:pPr>
      <w:numPr>
        <w:numId w:val="2"/>
      </w:numPr>
    </w:pPr>
  </w:style>
  <w:style w:type="paragraph" w:styleId="ad">
    <w:name w:val="Balloon Text"/>
    <w:basedOn w:val="a0"/>
    <w:semiHidden/>
    <w:rsid w:val="001D3329"/>
    <w:rPr>
      <w:rFonts w:ascii="Tahoma" w:hAnsi="Tahoma" w:cs="Tahoma"/>
      <w:sz w:val="16"/>
      <w:szCs w:val="16"/>
    </w:rPr>
  </w:style>
  <w:style w:type="character" w:styleId="ae">
    <w:name w:val="page number"/>
    <w:basedOn w:val="a1"/>
    <w:semiHidden/>
    <w:rsid w:val="001D3329"/>
  </w:style>
  <w:style w:type="paragraph" w:styleId="ab">
    <w:name w:val="Body Text"/>
    <w:basedOn w:val="a0"/>
    <w:link w:val="af"/>
    <w:rsid w:val="001D3329"/>
  </w:style>
  <w:style w:type="character" w:styleId="af0">
    <w:name w:val="Hyperlink"/>
    <w:uiPriority w:val="99"/>
    <w:rsid w:val="001D3329"/>
    <w:rPr>
      <w:color w:val="0000FF"/>
      <w:u w:val="single"/>
      <w:lang w:val="en-GB"/>
    </w:rPr>
  </w:style>
  <w:style w:type="character" w:styleId="af1">
    <w:name w:val="FollowedHyperlink"/>
    <w:semiHidden/>
    <w:rsid w:val="001D3329"/>
    <w:rPr>
      <w:color w:val="FF0000"/>
      <w:u w:val="single"/>
    </w:rPr>
  </w:style>
  <w:style w:type="character" w:styleId="af2">
    <w:name w:val="annotation reference"/>
    <w:semiHidden/>
    <w:rsid w:val="001D3329"/>
    <w:rPr>
      <w:sz w:val="16"/>
      <w:szCs w:val="16"/>
    </w:rPr>
  </w:style>
  <w:style w:type="paragraph" w:styleId="af3">
    <w:name w:val="annotation text"/>
    <w:basedOn w:val="a0"/>
    <w:semiHidden/>
    <w:rsid w:val="001D3329"/>
  </w:style>
  <w:style w:type="paragraph" w:styleId="af4">
    <w:name w:val="annotation subject"/>
    <w:basedOn w:val="af3"/>
    <w:next w:val="af3"/>
    <w:semiHidden/>
    <w:rsid w:val="001D3329"/>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D3329"/>
    <w:rPr>
      <w:rFonts w:ascii="Arial" w:hAnsi="Arial" w:cs="Arial"/>
      <w:sz w:val="36"/>
      <w:szCs w:val="36"/>
      <w:lang w:val="en-GB"/>
    </w:rPr>
  </w:style>
  <w:style w:type="paragraph" w:customStyle="1" w:styleId="B1">
    <w:name w:val="B1"/>
    <w:basedOn w:val="a7"/>
    <w:link w:val="B1Char"/>
    <w:qFormat/>
    <w:rsid w:val="001D3329"/>
    <w:pPr>
      <w:spacing w:after="180"/>
      <w:jc w:val="left"/>
    </w:pPr>
    <w:rPr>
      <w:lang w:eastAsia="en-US"/>
    </w:rPr>
  </w:style>
  <w:style w:type="paragraph" w:customStyle="1" w:styleId="B2">
    <w:name w:val="B2"/>
    <w:basedOn w:val="24"/>
    <w:link w:val="B2Char"/>
    <w:rsid w:val="001D3329"/>
    <w:pPr>
      <w:spacing w:after="180"/>
      <w:jc w:val="left"/>
    </w:pPr>
    <w:rPr>
      <w:lang w:eastAsia="en-US"/>
    </w:rPr>
  </w:style>
  <w:style w:type="paragraph" w:customStyle="1" w:styleId="B3">
    <w:name w:val="B3"/>
    <w:basedOn w:val="32"/>
    <w:link w:val="B3Char2"/>
    <w:rsid w:val="001D3329"/>
    <w:pPr>
      <w:spacing w:after="180"/>
      <w:jc w:val="left"/>
    </w:pPr>
    <w:rPr>
      <w:lang w:eastAsia="en-US"/>
    </w:rPr>
  </w:style>
  <w:style w:type="paragraph" w:customStyle="1" w:styleId="B4">
    <w:name w:val="B4"/>
    <w:basedOn w:val="42"/>
    <w:link w:val="B4Char"/>
    <w:rsid w:val="001D3329"/>
    <w:pPr>
      <w:spacing w:after="180"/>
      <w:jc w:val="left"/>
    </w:pPr>
    <w:rPr>
      <w:lang w:eastAsia="en-US"/>
    </w:rPr>
  </w:style>
  <w:style w:type="paragraph" w:customStyle="1" w:styleId="Proposal">
    <w:name w:val="Proposal"/>
    <w:basedOn w:val="a0"/>
    <w:rsid w:val="001D3329"/>
    <w:pPr>
      <w:numPr>
        <w:numId w:val="3"/>
      </w:numPr>
      <w:tabs>
        <w:tab w:val="left" w:pos="1701"/>
      </w:tabs>
    </w:pPr>
    <w:rPr>
      <w:b/>
      <w:bCs/>
    </w:rPr>
  </w:style>
  <w:style w:type="character" w:customStyle="1" w:styleId="af">
    <w:name w:val="正文文本 字符"/>
    <w:link w:val="ab"/>
    <w:rsid w:val="001D3329"/>
    <w:rPr>
      <w:rFonts w:ascii="Arial" w:hAnsi="Arial"/>
      <w:lang w:val="en-GB"/>
    </w:rPr>
  </w:style>
  <w:style w:type="paragraph" w:customStyle="1" w:styleId="B5">
    <w:name w:val="B5"/>
    <w:basedOn w:val="52"/>
    <w:rsid w:val="001D3329"/>
    <w:pPr>
      <w:spacing w:after="180"/>
      <w:jc w:val="left"/>
    </w:pPr>
    <w:rPr>
      <w:lang w:eastAsia="en-US"/>
    </w:rPr>
  </w:style>
  <w:style w:type="paragraph" w:customStyle="1" w:styleId="EX">
    <w:name w:val="EX"/>
    <w:basedOn w:val="a0"/>
    <w:rsid w:val="001D3329"/>
    <w:pPr>
      <w:keepLines/>
      <w:spacing w:after="180"/>
      <w:ind w:left="1702" w:hanging="1418"/>
      <w:jc w:val="left"/>
    </w:pPr>
    <w:rPr>
      <w:lang w:eastAsia="en-US"/>
    </w:rPr>
  </w:style>
  <w:style w:type="paragraph" w:customStyle="1" w:styleId="EW">
    <w:name w:val="EW"/>
    <w:basedOn w:val="EX"/>
    <w:rsid w:val="001D3329"/>
    <w:pPr>
      <w:spacing w:after="0"/>
    </w:pPr>
  </w:style>
  <w:style w:type="paragraph" w:customStyle="1" w:styleId="TAL">
    <w:name w:val="TAL"/>
    <w:basedOn w:val="a0"/>
    <w:link w:val="TALCar"/>
    <w:rsid w:val="001D3329"/>
    <w:pPr>
      <w:keepNext/>
      <w:keepLines/>
      <w:spacing w:after="0"/>
      <w:jc w:val="left"/>
    </w:pPr>
    <w:rPr>
      <w:sz w:val="18"/>
      <w:lang w:eastAsia="en-US"/>
    </w:rPr>
  </w:style>
  <w:style w:type="paragraph" w:customStyle="1" w:styleId="TAC">
    <w:name w:val="TAC"/>
    <w:basedOn w:val="TAL"/>
    <w:rsid w:val="001D3329"/>
    <w:pPr>
      <w:jc w:val="center"/>
    </w:pPr>
  </w:style>
  <w:style w:type="paragraph" w:customStyle="1" w:styleId="TAH">
    <w:name w:val="TAH"/>
    <w:basedOn w:val="TAC"/>
    <w:link w:val="TAHCar"/>
    <w:rsid w:val="001D3329"/>
    <w:rPr>
      <w:b/>
    </w:rPr>
  </w:style>
  <w:style w:type="paragraph" w:customStyle="1" w:styleId="TAN">
    <w:name w:val="TAN"/>
    <w:basedOn w:val="TAL"/>
    <w:rsid w:val="001D3329"/>
    <w:pPr>
      <w:ind w:left="851" w:hanging="851"/>
    </w:pPr>
  </w:style>
  <w:style w:type="paragraph" w:customStyle="1" w:styleId="TAR">
    <w:name w:val="TAR"/>
    <w:basedOn w:val="TAL"/>
    <w:rsid w:val="001D3329"/>
    <w:pPr>
      <w:jc w:val="right"/>
    </w:pPr>
  </w:style>
  <w:style w:type="paragraph" w:customStyle="1" w:styleId="TH">
    <w:name w:val="TH"/>
    <w:basedOn w:val="a0"/>
    <w:link w:val="THChar"/>
    <w:rsid w:val="001D3329"/>
    <w:pPr>
      <w:keepNext/>
      <w:keepLines/>
      <w:spacing w:before="60" w:after="180"/>
      <w:jc w:val="center"/>
    </w:pPr>
    <w:rPr>
      <w:b/>
      <w:lang w:eastAsia="en-US"/>
    </w:rPr>
  </w:style>
  <w:style w:type="paragraph" w:customStyle="1" w:styleId="TF">
    <w:name w:val="TF"/>
    <w:basedOn w:val="TH"/>
    <w:rsid w:val="001D3329"/>
    <w:pPr>
      <w:keepNext w:val="0"/>
      <w:spacing w:before="0" w:after="240"/>
    </w:pPr>
  </w:style>
  <w:style w:type="paragraph" w:customStyle="1" w:styleId="TT">
    <w:name w:val="TT"/>
    <w:basedOn w:val="1"/>
    <w:next w:val="a0"/>
    <w:rsid w:val="001D3329"/>
    <w:pPr>
      <w:numPr>
        <w:numId w:val="0"/>
      </w:numPr>
      <w:ind w:left="1134" w:hanging="1134"/>
      <w:outlineLvl w:val="9"/>
    </w:pPr>
    <w:rPr>
      <w:rFonts w:cs="Times New Roman"/>
      <w:szCs w:val="20"/>
      <w:lang w:eastAsia="en-US"/>
    </w:rPr>
  </w:style>
  <w:style w:type="paragraph" w:customStyle="1" w:styleId="ZA">
    <w:name w:val="ZA"/>
    <w:rsid w:val="001D33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D33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D332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D33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D3329"/>
  </w:style>
  <w:style w:type="paragraph" w:customStyle="1" w:styleId="ZH">
    <w:name w:val="ZH"/>
    <w:rsid w:val="001D332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D33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D3329"/>
    <w:pPr>
      <w:framePr w:hRule="auto" w:wrap="notBeside" w:y="852"/>
    </w:pPr>
    <w:rPr>
      <w:i w:val="0"/>
      <w:sz w:val="40"/>
    </w:rPr>
  </w:style>
  <w:style w:type="paragraph" w:customStyle="1" w:styleId="ZU">
    <w:name w:val="ZU"/>
    <w:rsid w:val="001D33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D3329"/>
    <w:pPr>
      <w:framePr w:wrap="notBeside" w:y="16161"/>
    </w:pPr>
  </w:style>
  <w:style w:type="paragraph" w:customStyle="1" w:styleId="FP">
    <w:name w:val="FP"/>
    <w:basedOn w:val="a0"/>
    <w:rsid w:val="001D3329"/>
    <w:pPr>
      <w:spacing w:after="0"/>
      <w:jc w:val="left"/>
    </w:pPr>
    <w:rPr>
      <w:lang w:eastAsia="en-US"/>
    </w:rPr>
  </w:style>
  <w:style w:type="paragraph" w:customStyle="1" w:styleId="Observation">
    <w:name w:val="Observation"/>
    <w:basedOn w:val="Proposal"/>
    <w:qFormat/>
    <w:rsid w:val="001D3329"/>
    <w:pPr>
      <w:numPr>
        <w:numId w:val="9"/>
      </w:numPr>
      <w:ind w:left="1701" w:hanging="1701"/>
    </w:pPr>
  </w:style>
  <w:style w:type="paragraph" w:styleId="af5">
    <w:name w:val="table of figures"/>
    <w:basedOn w:val="a0"/>
    <w:next w:val="a0"/>
    <w:uiPriority w:val="99"/>
    <w:rsid w:val="001D3329"/>
    <w:pPr>
      <w:ind w:left="1418" w:hanging="1418"/>
      <w:jc w:val="left"/>
    </w:pPr>
    <w:rPr>
      <w:b/>
    </w:rPr>
  </w:style>
  <w:style w:type="paragraph" w:customStyle="1" w:styleId="Doc-text2">
    <w:name w:val="Doc-text2"/>
    <w:basedOn w:val="a0"/>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a0"/>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a1"/>
    <w:link w:val="NO"/>
    <w:rsid w:val="00F46056"/>
    <w:rPr>
      <w:rFonts w:ascii="Times New Roman" w:eastAsia="Times New Roman" w:hAnsi="Times New Roman"/>
      <w:lang w:val="en-GB" w:eastAsia="ko-KR"/>
    </w:rPr>
  </w:style>
  <w:style w:type="character" w:customStyle="1" w:styleId="B2Char">
    <w:name w:val="B2 Char"/>
    <w:basedOn w:val="a1"/>
    <w:link w:val="B2"/>
    <w:rsid w:val="00F46056"/>
    <w:rPr>
      <w:rFonts w:ascii="Arial" w:hAnsi="Arial"/>
      <w:lang w:val="en-GB" w:eastAsia="en-US"/>
    </w:rPr>
  </w:style>
  <w:style w:type="character" w:customStyle="1" w:styleId="B1Char">
    <w:name w:val="B1 Char"/>
    <w:basedOn w:val="a1"/>
    <w:link w:val="B1"/>
    <w:rsid w:val="00A22FD5"/>
    <w:rPr>
      <w:rFonts w:ascii="Arial" w:hAnsi="Arial"/>
      <w:lang w:val="en-GB" w:eastAsia="en-US"/>
    </w:rPr>
  </w:style>
  <w:style w:type="table" w:styleId="af6">
    <w:name w:val="Table Grid"/>
    <w:basedOn w:val="a2"/>
    <w:rsid w:val="0093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0"/>
    <w:uiPriority w:val="34"/>
    <w:qFormat/>
    <w:rsid w:val="000677D1"/>
    <w:pPr>
      <w:ind w:left="720"/>
      <w:contextualSpacing/>
    </w:pPr>
  </w:style>
  <w:style w:type="paragraph" w:customStyle="1" w:styleId="Guidance">
    <w:name w:val="Guidance"/>
    <w:basedOn w:val="a0"/>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 w:type="paragraph" w:customStyle="1" w:styleId="CRCoverPage">
    <w:name w:val="CR Cover Page"/>
    <w:link w:val="CRCoverPageZchn"/>
    <w:rsid w:val="0031543E"/>
    <w:pPr>
      <w:spacing w:after="120"/>
    </w:pPr>
    <w:rPr>
      <w:rFonts w:ascii="Arial" w:eastAsia="宋体" w:hAnsi="Arial"/>
      <w:lang w:val="en-GB" w:eastAsia="en-US"/>
    </w:rPr>
  </w:style>
  <w:style w:type="character" w:customStyle="1" w:styleId="CRCoverPageZchn">
    <w:name w:val="CR Cover Page Zchn"/>
    <w:link w:val="CRCoverPage"/>
    <w:locked/>
    <w:rsid w:val="0031543E"/>
    <w:rPr>
      <w:rFonts w:ascii="Arial" w:eastAsia="宋体" w:hAnsi="Arial"/>
      <w:lang w:val="en-GB" w:eastAsia="en-US"/>
    </w:rPr>
  </w:style>
  <w:style w:type="paragraph" w:customStyle="1" w:styleId="ListParagraph1">
    <w:name w:val="List Paragraph1"/>
    <w:basedOn w:val="a0"/>
    <w:uiPriority w:val="34"/>
    <w:qFormat/>
    <w:rsid w:val="00AC59FF"/>
    <w:pPr>
      <w:overflowPunct/>
      <w:autoSpaceDE/>
      <w:autoSpaceDN/>
      <w:adjustRightInd/>
      <w:spacing w:after="180" w:line="259" w:lineRule="auto"/>
      <w:ind w:left="720"/>
      <w:contextualSpacing/>
      <w:jc w:val="left"/>
      <w:textAlignment w:val="auto"/>
    </w:pPr>
    <w:rPr>
      <w:rFonts w:ascii="Times New Roman" w:hAnsi="Times New Roman"/>
      <w:lang w:eastAsia="en-US"/>
    </w:rPr>
  </w:style>
  <w:style w:type="paragraph" w:customStyle="1" w:styleId="Doc-title">
    <w:name w:val="Doc-title"/>
    <w:basedOn w:val="a0"/>
    <w:next w:val="Doc-text2"/>
    <w:link w:val="Doc-titleChar"/>
    <w:qFormat/>
    <w:rsid w:val="0010060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00602"/>
    <w:rPr>
      <w:rFonts w:ascii="Arial" w:eastAsia="MS Mincho" w:hAnsi="Arial"/>
      <w:noProof/>
      <w:szCs w:val="24"/>
      <w:lang w:val="en-GB" w:eastAsia="en-GB"/>
    </w:rPr>
  </w:style>
  <w:style w:type="paragraph" w:customStyle="1" w:styleId="PL">
    <w:name w:val="PL"/>
    <w:link w:val="PLChar"/>
    <w:rsid w:val="00905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THChar">
    <w:name w:val="TH Char"/>
    <w:link w:val="TH"/>
    <w:rsid w:val="00905FD6"/>
    <w:rPr>
      <w:rFonts w:ascii="Arial" w:hAnsi="Arial"/>
      <w:b/>
      <w:lang w:val="en-GB" w:eastAsia="en-US"/>
    </w:rPr>
  </w:style>
  <w:style w:type="character" w:customStyle="1" w:styleId="PLChar">
    <w:name w:val="PL Char"/>
    <w:link w:val="PL"/>
    <w:rsid w:val="00905FD6"/>
    <w:rPr>
      <w:rFonts w:ascii="Courier New" w:eastAsia="Times New Roman" w:hAnsi="Courier New"/>
      <w:noProof/>
      <w:sz w:val="16"/>
      <w:lang w:eastAsia="en-US"/>
    </w:rPr>
  </w:style>
  <w:style w:type="character" w:customStyle="1" w:styleId="B1Char1">
    <w:name w:val="B1 Char1"/>
    <w:qFormat/>
    <w:rsid w:val="00782852"/>
    <w:rPr>
      <w:rFonts w:ascii="Times New Roman" w:eastAsia="Times New Roman" w:hAnsi="Times New Roman"/>
    </w:rPr>
  </w:style>
  <w:style w:type="character" w:customStyle="1" w:styleId="B3Char2">
    <w:name w:val="B3 Char2"/>
    <w:link w:val="B3"/>
    <w:rsid w:val="00782852"/>
    <w:rPr>
      <w:rFonts w:ascii="Arial" w:hAnsi="Arial"/>
      <w:lang w:val="en-GB" w:eastAsia="en-US"/>
    </w:rPr>
  </w:style>
  <w:style w:type="character" w:customStyle="1" w:styleId="B4Char">
    <w:name w:val="B4 Char"/>
    <w:link w:val="B4"/>
    <w:rsid w:val="00782852"/>
    <w:rPr>
      <w:rFonts w:ascii="Arial" w:hAnsi="Arial"/>
      <w:lang w:val="en-GB" w:eastAsia="en-US"/>
    </w:rPr>
  </w:style>
  <w:style w:type="character" w:customStyle="1" w:styleId="TALCar">
    <w:name w:val="TAL Car"/>
    <w:link w:val="TAL"/>
    <w:rsid w:val="005D5E4D"/>
    <w:rPr>
      <w:rFonts w:ascii="Arial" w:hAnsi="Arial"/>
      <w:sz w:val="18"/>
      <w:lang w:val="en-GB" w:eastAsia="en-US"/>
    </w:rPr>
  </w:style>
  <w:style w:type="character" w:customStyle="1" w:styleId="TAHCar">
    <w:name w:val="TAH Car"/>
    <w:link w:val="TAH"/>
    <w:locked/>
    <w:rsid w:val="005D5E4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960530">
      <w:bodyDiv w:val="1"/>
      <w:marLeft w:val="0"/>
      <w:marRight w:val="0"/>
      <w:marTop w:val="0"/>
      <w:marBottom w:val="0"/>
      <w:divBdr>
        <w:top w:val="none" w:sz="0" w:space="0" w:color="auto"/>
        <w:left w:val="none" w:sz="0" w:space="0" w:color="auto"/>
        <w:bottom w:val="none" w:sz="0" w:space="0" w:color="auto"/>
        <w:right w:val="none" w:sz="0" w:space="0" w:color="auto"/>
      </w:divBdr>
    </w:div>
    <w:div w:id="1268581189">
      <w:bodyDiv w:val="1"/>
      <w:marLeft w:val="0"/>
      <w:marRight w:val="0"/>
      <w:marTop w:val="0"/>
      <w:marBottom w:val="0"/>
      <w:divBdr>
        <w:top w:val="none" w:sz="0" w:space="0" w:color="auto"/>
        <w:left w:val="none" w:sz="0" w:space="0" w:color="auto"/>
        <w:bottom w:val="none" w:sz="0" w:space="0" w:color="auto"/>
        <w:right w:val="none" w:sz="0" w:space="0" w:color="auto"/>
      </w:divBdr>
    </w:div>
    <w:div w:id="17062499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88C99-8292-42CC-B12A-D2BA8326E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447</TotalTime>
  <Pages>3</Pages>
  <Words>1270</Words>
  <Characters>7239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OPPO</vt:lpstr>
    </vt:vector>
  </TitlesOfParts>
  <Company>Ericsson</Company>
  <LinksUpToDate>false</LinksUpToDate>
  <CharactersWithSpaces>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Shi Cong</dc:creator>
  <cp:keywords>3GPP; OPPO; TDoc</cp:keywords>
  <cp:lastModifiedBy>OPPO</cp:lastModifiedBy>
  <cp:revision>16</cp:revision>
  <cp:lastPrinted>2008-01-31T00:09:00Z</cp:lastPrinted>
  <dcterms:created xsi:type="dcterms:W3CDTF">2018-02-09T08:33:00Z</dcterms:created>
  <dcterms:modified xsi:type="dcterms:W3CDTF">2018-02-13T04:02:00Z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